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440105-2024-01119</w:t>
      </w:r>
    </w:p>
    <w:p>
      <w:pPr>
        <w:pStyle w:val="null3"/>
        <w:jc w:val="center"/>
        <w:outlineLvl w:val="3"/>
      </w:pPr>
      <w:r>
        <w:rPr>
          <w:b/>
          <w:sz w:val="24"/>
        </w:rPr>
        <w:t>采购项目编号：</w:t>
      </w:r>
      <w:r>
        <w:rPr>
          <w:b/>
          <w:sz w:val="24"/>
        </w:rPr>
        <w:t>202401008706012</w:t>
      </w:r>
    </w:p>
    <w:p>
      <w:pPr>
        <w:pStyle w:val="null3"/>
        <w:jc w:val="center"/>
        <w:outlineLvl w:val="3"/>
      </w:pPr>
      <w:r>
        <w:rPr>
          <w:b/>
          <w:sz w:val="24"/>
        </w:rPr>
        <w:t>项目名称：</w:t>
      </w:r>
      <w:r>
        <w:rPr>
          <w:b/>
          <w:sz w:val="24"/>
        </w:rPr>
        <w:t>海珠区面向实施的近中期交通提升规划</w:t>
      </w:r>
    </w:p>
    <w:p>
      <w:pPr>
        <w:pStyle w:val="null3"/>
        <w:jc w:val="center"/>
        <w:outlineLvl w:val="3"/>
      </w:pPr>
      <w:r>
        <w:rPr>
          <w:b/>
          <w:sz w:val="24"/>
        </w:rPr>
        <w:t>采购人：</w:t>
      </w:r>
      <w:r>
        <w:rPr>
          <w:b/>
          <w:sz w:val="24"/>
        </w:rPr>
        <w:t>广州市海珠区规划编制研究中心</w:t>
      </w:r>
    </w:p>
    <w:p>
      <w:pPr>
        <w:pStyle w:val="null3"/>
        <w:jc w:val="center"/>
        <w:outlineLvl w:val="3"/>
      </w:pPr>
      <w:r>
        <w:rPr>
          <w:b/>
          <w:sz w:val="24"/>
        </w:rPr>
        <w:t>采购代理机构：</w:t>
      </w:r>
      <w:r>
        <w:rPr>
          <w:b/>
          <w:sz w:val="24"/>
        </w:rPr>
        <w:t>广州群生招标代理有限公司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广州群生招标代理有限公司</w:t>
      </w:r>
      <w:r>
        <w:rPr/>
        <w:t>受</w:t>
      </w:r>
      <w:r>
        <w:rPr/>
        <w:t>广州市海珠区规划编制研究中心</w:t>
      </w:r>
      <w:r>
        <w:rPr/>
        <w:t>的委托，采用</w:t>
      </w:r>
      <w:r>
        <w:rPr/>
        <w:t>公开招标</w:t>
      </w:r>
      <w:r>
        <w:rPr/>
        <w:t>方式组织采购</w:t>
      </w:r>
      <w:r>
        <w:rPr/>
        <w:t>海珠区面向实施的近中期交通提升规划</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海珠区面向实施的近中期交通提升规划</w:t>
      </w:r>
    </w:p>
    <w:p>
      <w:pPr>
        <w:pStyle w:val="null3"/>
        <w:ind w:firstLine="480"/>
      </w:pPr>
      <w:r>
        <w:rPr/>
        <w:t>采购计划编号：</w:t>
      </w:r>
      <w:r>
        <w:rPr/>
        <w:t>440105-2024-01119</w:t>
      </w:r>
    </w:p>
    <w:p>
      <w:pPr>
        <w:pStyle w:val="null3"/>
        <w:ind w:firstLine="480"/>
      </w:pPr>
      <w:r>
        <w:rPr/>
        <w:t>采购项目编号：</w:t>
      </w:r>
      <w:r>
        <w:rPr/>
        <w:t>202401008706012</w:t>
      </w:r>
    </w:p>
    <w:p>
      <w:pPr>
        <w:pStyle w:val="null3"/>
        <w:ind w:firstLine="480"/>
      </w:pPr>
      <w:r>
        <w:rPr/>
        <w:t>采购方式：</w:t>
      </w:r>
      <w:r>
        <w:rPr/>
        <w:t>公开招标</w:t>
      </w:r>
    </w:p>
    <w:p>
      <w:pPr>
        <w:pStyle w:val="null3"/>
        <w:ind w:firstLine="480"/>
      </w:pPr>
      <w:r>
        <w:rPr/>
        <w:t>预算金额：</w:t>
      </w:r>
      <w:r>
        <w:rPr/>
        <w:t>2,730,000.00</w:t>
      </w:r>
      <w:r>
        <w:rPr/>
        <w:t>元</w:t>
      </w:r>
    </w:p>
    <w:p>
      <w:pPr>
        <w:pStyle w:val="null3"/>
        <w:outlineLvl w:val="3"/>
      </w:pPr>
      <w:r>
        <w:rPr>
          <w:b/>
          <w:sz w:val="24"/>
        </w:rPr>
        <w:t>2.项目内容及需求情况（采购项目技术规格、参数及要求）</w:t>
      </w:r>
    </w:p>
    <w:p>
      <w:pPr>
        <w:pStyle w:val="null3"/>
      </w:pPr>
    </w:p>
    <w:p>
      <w:pPr>
        <w:pStyle w:val="null3"/>
      </w:pPr>
      <w:r>
        <w:rPr/>
        <w:t>采购包1(海珠区面向实施的近中期交通提升规划):</w:t>
      </w:r>
    </w:p>
    <w:p>
      <w:pPr>
        <w:pStyle w:val="null3"/>
      </w:pPr>
      <w:r>
        <w:rPr/>
        <w:t>采购包预算金额：2,730,000.00元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海珠区面向实施的近中期交通提升规划</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2,730,000.00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合同履行期限：自合同签订起两年内完成。</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提供在中华人民共和国境内注册的法人或其他组织的营业执照（或事业单位法人证书，或社会团体法人登记证书，或执业许可证）复印件，如分公司投标的，必须持有法人资格的总公司营业执照复印件及针对本项目的授权书。</w:t>
      </w:r>
    </w:p>
    <w:p>
      <w:pPr>
        <w:pStyle w:val="null3"/>
      </w:pPr>
    </w:p>
    <w:p>
      <w:pPr>
        <w:pStyle w:val="null3"/>
      </w:pPr>
      <w:r>
        <w:rPr/>
        <w:t>2）有依法缴纳税收和社会保障资金的良好记录：提供《投标人资格声明函》（格式详见公告附件）。</w:t>
      </w:r>
    </w:p>
    <w:p>
      <w:pPr>
        <w:pStyle w:val="null3"/>
      </w:pPr>
    </w:p>
    <w:p>
      <w:pPr>
        <w:pStyle w:val="null3"/>
      </w:pPr>
      <w:r>
        <w:rPr/>
        <w:t>3）具有良好的商业信誉和健全的财务会计制度：提供《投标人资格声明函》（格式详见公告附件）。</w:t>
      </w:r>
    </w:p>
    <w:p>
      <w:pPr>
        <w:pStyle w:val="null3"/>
      </w:pPr>
    </w:p>
    <w:p>
      <w:pPr>
        <w:pStyle w:val="null3"/>
      </w:pPr>
      <w:r>
        <w:rPr/>
        <w:t>4）履行合同所必需的设备和专业技术能力：提供《投标人资格声明函》（格式详见公告附件）。</w:t>
      </w:r>
    </w:p>
    <w:p>
      <w:pPr>
        <w:pStyle w:val="null3"/>
      </w:pPr>
    </w:p>
    <w:p>
      <w:pPr>
        <w:pStyle w:val="null3"/>
      </w:pPr>
      <w:r>
        <w:rPr/>
        <w:t>5）参加采购活动前3年内，在经营活动中没有重大违法记录：提供《投标人资格声明函》（格式详见公告附件）。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采购包1（海珠区面向实施的近中期交通提升规划）：</w:t>
      </w:r>
      <w:r>
        <w:rPr/>
        <w:t>本项目整体专门面向中小企业采购,供应商应为中小微企业、监狱企业、残疾人福利性单位。【依据《中小企业声明函》或由省级以上监狱管理局、戒毒管理局(含新疆生产建设兵团)出具的承接方属于监狱企业的证明文件或承接方的《残疾人福利性单位声明函》】。</w:t>
      </w:r>
    </w:p>
    <w:p>
      <w:pPr>
        <w:pStyle w:val="null3"/>
        <w:outlineLvl w:val="3"/>
      </w:pPr>
      <w:r>
        <w:rPr>
          <w:b/>
          <w:sz w:val="24"/>
        </w:rPr>
        <w:t>3.本项目特定的资格要求：</w:t>
      </w:r>
    </w:p>
    <w:p>
      <w:pPr>
        <w:pStyle w:val="null3"/>
      </w:pPr>
    </w:p>
    <w:p>
      <w:pPr>
        <w:pStyle w:val="null3"/>
      </w:pPr>
      <w:r>
        <w:rPr/>
        <w:t>采购包1（海珠区面向实施的近中期交通提升规划）：</w:t>
      </w:r>
    </w:p>
    <w:p>
      <w:pPr>
        <w:pStyle w:val="null3"/>
      </w:pP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评审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同时参加本采购项目（或采购包）投标（响应）。为本项目提供整体设计、规范编制或者项目管理、监理等服务的供应商，不得再参与本项目投标（响应）。提供《投标人资格声明函》（格式详见公告附件）。</w:t>
      </w:r>
    </w:p>
    <w:p>
      <w:pPr>
        <w:pStyle w:val="null3"/>
      </w:pPr>
    </w:p>
    <w:p>
      <w:pPr>
        <w:pStyle w:val="null3"/>
      </w:pPr>
      <w:r>
        <w:rPr/>
        <w:t>3)投标人具有行政相关部门颁发的城乡规划编制甲级资质。（按照自然资源部2023年12月29日《自然资源部办公厅关于城乡规划编制单位甲级资质证书延期有关事宜的通知》（自然资办函〔2023〕2717号），自然资源部核发的有效期至2023年12月31日的城乡规划编制单位甲级资质证书，有效期延长至2025年12月31日。如相关主管部门有最新政策，按最新政策执行）。</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广州群生招标代理有限公司官网（http://gzqunsheng.com/）</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广州市海珠区规划编制研究中心</w:t>
      </w:r>
    </w:p>
    <w:p>
      <w:pPr>
        <w:pStyle w:val="null3"/>
        <w:ind w:firstLine="480"/>
      </w:pPr>
      <w:r>
        <w:rPr/>
        <w:t>地址：</w:t>
      </w:r>
      <w:r>
        <w:rPr/>
        <w:t>广州市海珠区宝岗大道杏坛大街28号</w:t>
      </w:r>
    </w:p>
    <w:p>
      <w:pPr>
        <w:pStyle w:val="null3"/>
        <w:ind w:firstLine="480"/>
      </w:pPr>
      <w:r>
        <w:rPr/>
        <w:t>联系方式：</w:t>
      </w:r>
      <w:r>
        <w:rPr/>
        <w:t>020-34373137</w:t>
      </w:r>
    </w:p>
    <w:p>
      <w:pPr>
        <w:pStyle w:val="null3"/>
        <w:outlineLvl w:val="3"/>
      </w:pPr>
      <w:r>
        <w:rPr>
          <w:b/>
          <w:sz w:val="24"/>
        </w:rPr>
        <w:t>2.采购代理机构信息</w:t>
      </w:r>
    </w:p>
    <w:p>
      <w:pPr>
        <w:pStyle w:val="null3"/>
        <w:ind w:firstLine="480"/>
      </w:pPr>
      <w:r>
        <w:rPr/>
        <w:t>名称：</w:t>
      </w:r>
      <w:r>
        <w:rPr/>
        <w:t>广州群生招标代理有限公司</w:t>
      </w:r>
    </w:p>
    <w:p>
      <w:pPr>
        <w:pStyle w:val="null3"/>
        <w:ind w:firstLine="480"/>
      </w:pPr>
      <w:r>
        <w:rPr/>
        <w:t>地址：</w:t>
      </w:r>
      <w:r>
        <w:rPr/>
        <w:t>广东省广州市越秀区东风东路555号粤海集团大厦2204</w:t>
      </w:r>
    </w:p>
    <w:p>
      <w:pPr>
        <w:pStyle w:val="null3"/>
        <w:ind w:firstLine="480"/>
      </w:pPr>
      <w:r>
        <w:rPr/>
        <w:t>联系方式：</w:t>
      </w:r>
      <w:r>
        <w:rPr/>
        <w:t>020-83812782、020-83812935，18011735206</w:t>
      </w:r>
    </w:p>
    <w:p>
      <w:pPr>
        <w:pStyle w:val="null3"/>
        <w:outlineLvl w:val="3"/>
      </w:pPr>
      <w:r>
        <w:rPr>
          <w:b/>
          <w:sz w:val="24"/>
        </w:rPr>
        <w:t>3.项目联系方式</w:t>
      </w:r>
    </w:p>
    <w:p>
      <w:pPr>
        <w:pStyle w:val="null3"/>
        <w:ind w:firstLine="480"/>
      </w:pPr>
      <w:r>
        <w:rPr/>
        <w:t>项目联系人：</w:t>
      </w:r>
      <w:r>
        <w:rPr/>
        <w:t>叶工</w:t>
      </w:r>
    </w:p>
    <w:p>
      <w:pPr>
        <w:pStyle w:val="null3"/>
        <w:ind w:firstLine="480"/>
      </w:pPr>
      <w:r>
        <w:rPr/>
        <w:t>电话：</w:t>
      </w:r>
      <w:r>
        <w:rPr/>
        <w:t>020-83812782、020-83812935，18011735206</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广州群生招标代理有限公司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outlineLvl w:val="0"/>
      </w:pPr>
      <w:r>
        <w:rPr>
          <w:b/>
          <w:sz w:val="24"/>
        </w:rPr>
        <w:t>（一）项目背景</w:t>
      </w:r>
    </w:p>
    <w:p>
      <w:pPr>
        <w:pStyle w:val="null3"/>
        <w:ind w:firstLine="420"/>
      </w:pPr>
      <w:r>
        <w:rPr>
          <w:sz w:val="21"/>
        </w:rPr>
        <w:t>为深入贯彻习主席对广东系列重要讲话和重要指示批示精神，以及党的二十大提出的</w:t>
      </w:r>
      <w:r>
        <w:rPr>
          <w:sz w:val="21"/>
        </w:rPr>
        <w:t>“坚持人民城市人民建、人民城市为人民，提高城市规划、建设、治理水平”精神，完整、准确、全面贯彻新发展理念，服务和融入新发展格局，海珠区积极围绕“数字生态城”的发展定位，构筑“一轴引领、两环带动、三区支撑”的城市空间格局，重点打造数字经济示范区、产城融合引领区、城央生态宜居区、文商旅融合样板区，助力广州高质量发展，加快实现老城市新活力、“四个出新出彩”，为实现中国式现代化贡献广州和海珠的力量。</w:t>
      </w:r>
    </w:p>
    <w:p>
      <w:pPr>
        <w:pStyle w:val="null3"/>
        <w:ind w:firstLine="420"/>
      </w:pPr>
      <w:r>
        <w:rPr>
          <w:sz w:val="21"/>
        </w:rPr>
        <w:t>同时，为加快转变超大特大城市发展方式，提高城市治理水平，党的二十大提出</w:t>
      </w:r>
      <w:r>
        <w:rPr>
          <w:sz w:val="21"/>
        </w:rPr>
        <w:t>“实施城市更新行动”，国务院发布了《关于在超大特大城市积极稳步推进城中村改造的指导意见》，城市建设由大规模增量建设转为存量提质改造和增量结构调整并重，从“有没有”转向“好不好”，进入城市更新的重要时期。据初步统计，海珠区的三旧图斑用地约为30平方公里，占现状建设用地的46%，根据《广州市城市更新专项规划（2021-2035年）》，至2035年，海珠区计划推进13个全面改造项目，面积约14平方公里，既为城市发展提供较充足的空间载体，也对交通系统承载能力提出较大挑战，需进一步探索新时期城市更新新路径。</w:t>
      </w:r>
    </w:p>
    <w:p>
      <w:pPr>
        <w:pStyle w:val="null3"/>
        <w:ind w:firstLine="420"/>
      </w:pPr>
      <w:r>
        <w:rPr>
          <w:sz w:val="21"/>
        </w:rPr>
        <w:t>立足高质量发展新征程，无论是围绕六大重点功能区打造</w:t>
      </w:r>
      <w:r>
        <w:rPr>
          <w:sz w:val="21"/>
        </w:rPr>
        <w:t>“数字生态城”，还是准确把握城市更新节奏，应对城市更新产生的大规模交通需求增长，均给海珠区交通发展提出了新的要求。既有的《海珠区综合交通规划及近期实施建议方案》、《海珠区国土空间总体规划（2020-2035）-综合交通专章》从区域角度明确了海珠区交通发展总体目标及交通发展战略，建立了区域一体的综合交通体系，为海珠区的总体交通发展提供了宏观指导，但较少涉及详细的交通控制方案，具体的交通设施空间、详细控制方案等仍需要根据全新的土地利用和城市设计方案以及城市更新方案，依据土地利用与交通协调发展的要求，提出面向实施的精细化的交通空间及控制方案，便于规划落地实施。</w:t>
      </w:r>
    </w:p>
    <w:p>
      <w:pPr>
        <w:pStyle w:val="null3"/>
        <w:ind w:firstLine="420"/>
      </w:pPr>
      <w:r>
        <w:rPr>
          <w:sz w:val="21"/>
        </w:rPr>
        <w:t>此外，现状的海珠区交通拥堵状况也异常严峻。作为中心城区的组成部分，海珠区是中心城区与番禺、南沙等联系的必经之地，骨干道路及轨道承担过境、对外、内部等多种功能，饱和度高，剩余容量不足。内部道路断头路较多，次支路通达性较差，难以形成交通微循环。非机动车爆发式增长，引发机、非、人路权矛盾，自行车乱停乱放现象突出，非机动车交通问题引发社会普遍关注。</w:t>
      </w:r>
    </w:p>
    <w:p>
      <w:pPr>
        <w:pStyle w:val="null3"/>
        <w:ind w:firstLine="420"/>
      </w:pPr>
      <w:r>
        <w:rPr>
          <w:sz w:val="21"/>
        </w:rPr>
        <w:t>综上，无论是立足海珠区高质量发展、满足服务海珠区打造城市发展示范区和样板区的建设需要，还是破局城市更新难题，或是破解海珠区自身交通发展的瓶颈，制定精细化的交通提升方案都已经成为解决海珠区当前乃至未来发展问题的关键环节，在高质量发展阶段，通过交通先行，借助交通优势，结区域发展提供最大动能，服务社会经济发展的大局，海珠区开展交通提升规划正当其时。</w:t>
      </w:r>
    </w:p>
    <w:p>
      <w:pPr>
        <w:pStyle w:val="null3"/>
        <w:ind w:firstLine="480"/>
        <w:jc w:val="both"/>
        <w:outlineLvl w:val="0"/>
      </w:pPr>
      <w:r>
        <w:rPr>
          <w:b/>
          <w:sz w:val="24"/>
        </w:rPr>
        <w:t>（二）规划范围</w:t>
      </w:r>
    </w:p>
    <w:p>
      <w:pPr>
        <w:pStyle w:val="null3"/>
        <w:ind w:firstLine="420"/>
        <w:jc w:val="both"/>
      </w:pPr>
      <w:r>
        <w:rPr>
          <w:sz w:val="21"/>
        </w:rPr>
        <w:t>项目研究范围为海珠区行政区域</w:t>
      </w:r>
      <w:r>
        <w:rPr>
          <w:sz w:val="21"/>
        </w:rPr>
        <w:t>（不含生物岛）</w:t>
      </w:r>
      <w:r>
        <w:rPr>
          <w:sz w:val="21"/>
        </w:rPr>
        <w:t>，规划面积约</w:t>
      </w:r>
      <w:r>
        <w:rPr>
          <w:sz w:val="21"/>
        </w:rPr>
        <w:t>88</w:t>
      </w:r>
      <w:r>
        <w:rPr>
          <w:sz w:val="21"/>
        </w:rPr>
        <w:t>平方公里，规划范围见下图。</w:t>
      </w:r>
    </w:p>
    <w:p>
      <w:pPr>
        <w:pStyle w:val="null3"/>
        <w:ind w:firstLine="480"/>
        <w:jc w:val="both"/>
      </w:pPr>
      <w:r>
        <w:drawing>
          <wp:inline distT="0" distR="0" distB="0" distL="0">
            <wp:extent cx="1081271" cy="47625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081271" cy="476250"/>
                    </a:xfrm>
                    <a:prstGeom prst="rect">
                      <a:avLst/>
                    </a:prstGeom>
                  </pic:spPr>
                </pic:pic>
              </a:graphicData>
            </a:graphic>
          </wp:inline>
        </w:drawing>
      </w:r>
    </w:p>
    <w:p>
      <w:pPr>
        <w:pStyle w:val="null3"/>
        <w:ind w:firstLine="420"/>
      </w:pPr>
      <w:r>
        <w:rPr>
          <w:sz w:val="21"/>
        </w:rPr>
        <w:t>项目规划范围示意图</w:t>
      </w:r>
    </w:p>
    <w:p>
      <w:pPr>
        <w:pStyle w:val="null3"/>
        <w:ind w:firstLine="480"/>
        <w:jc w:val="both"/>
        <w:outlineLvl w:val="0"/>
      </w:pPr>
      <w:r>
        <w:rPr>
          <w:b/>
          <w:sz w:val="24"/>
        </w:rPr>
        <w:t>（三）规划目标及拟解决问题</w:t>
      </w:r>
    </w:p>
    <w:p>
      <w:pPr>
        <w:pStyle w:val="null3"/>
      </w:pPr>
      <w:r>
        <w:rPr>
          <w:sz w:val="21"/>
        </w:rPr>
        <w:t>针对海珠区发展现状</w:t>
      </w:r>
      <w:r>
        <w:rPr>
          <w:sz w:val="21"/>
        </w:rPr>
        <w:t>瓶颈及面临难题，</w:t>
      </w:r>
      <w:r>
        <w:rPr>
          <w:sz w:val="21"/>
        </w:rPr>
        <w:t>结合城市发展新要求，构建与海珠区发展功能相适应的交通提升规划方案，进一步夯实</w:t>
      </w:r>
      <w:r>
        <w:rPr>
          <w:sz w:val="21"/>
        </w:rPr>
        <w:t>“对外联通、对内畅通”的海珠综合交通体系，实现品质畅行、宜居海珠的发展目标，促进交通与城市土地利用的协调发展，支持海珠区建设成为“数字生态城”的发展定位，具体目标是：</w:t>
      </w:r>
    </w:p>
    <w:p>
      <w:pPr>
        <w:pStyle w:val="null3"/>
      </w:pPr>
      <w:r>
        <w:rPr>
          <w:sz w:val="21"/>
        </w:rPr>
        <w:t>1、促进土地利用和交通发展协调。结合各示范区土地利用及城市设计的差异化要求和具体用地情况，提出重要干道、重要节点等重要交通设施的控制优化方案，以提高交通设施的可实施性，解决断头路、重要节点实施难的问题。</w:t>
      </w:r>
    </w:p>
    <w:p>
      <w:pPr>
        <w:pStyle w:val="null3"/>
      </w:pPr>
      <w:r>
        <w:rPr>
          <w:sz w:val="21"/>
        </w:rPr>
        <w:t>2、促进城市更新和交通发展协调。理顺城市更新和交通系统的供求、时序关系，对海珠区的城市更新和交通格局进行优化调整，制定合理的城市更新和交通建设项目计划，以把控更新节奏，避免短时大规模的城市更新对交通系统造成冲击。</w:t>
      </w:r>
    </w:p>
    <w:p>
      <w:pPr>
        <w:pStyle w:val="null3"/>
      </w:pPr>
      <w:r>
        <w:rPr>
          <w:sz w:val="21"/>
        </w:rPr>
        <w:t>3、提升非机动车出行环境。以以人为本为基本导向，制定非机动车交通提升方案，改善重点地区非机动车交通环境，各行其道，以减少非机动车交通对人行交通、车行交通的直接冲击，提高整体运行效率。</w:t>
      </w:r>
    </w:p>
    <w:p>
      <w:pPr>
        <w:pStyle w:val="null3"/>
        <w:ind w:firstLine="420"/>
        <w:jc w:val="both"/>
      </w:pPr>
      <w:r>
        <w:rPr>
          <w:sz w:val="21"/>
        </w:rPr>
        <w:t>4、制定合理可行的近期交通建设规划。结合城市建设和城市更新，明确近期交通建设计划，以支持海珠区近期城市发展建设。</w:t>
      </w:r>
    </w:p>
    <w:p>
      <w:pPr>
        <w:pStyle w:val="null3"/>
      </w:pPr>
    </w:p>
    <w:p>
      <w:pPr>
        <w:pStyle w:val="null3"/>
      </w:pPr>
      <w:r>
        <w:rPr/>
        <w:t>采购包1（海珠区面向实施的近中期交通提升规划）</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合同履行期限：自合同签订起两年内完成。</w:t>
            </w:r>
          </w:p>
        </w:tc>
      </w:tr>
      <w:tr>
        <w:tc>
          <w:tcPr>
            <w:tcW w:type="dxa" w:w="4153"/>
          </w:tcPr>
          <w:p>
            <w:pPr>
              <w:pStyle w:val="null3"/>
            </w:pPr>
            <w:r>
              <w:rPr/>
              <w:t>标的提供的地点</w:t>
            </w:r>
          </w:p>
        </w:tc>
        <w:tc>
          <w:tcPr>
            <w:tcW w:type="dxa" w:w="4153"/>
          </w:tcPr>
          <w:p>
            <w:pPr>
              <w:pStyle w:val="null3"/>
            </w:pPr>
          </w:p>
          <w:p>
            <w:pPr>
              <w:pStyle w:val="null3"/>
            </w:pPr>
            <w:r>
              <w:rPr/>
              <w:t>广州市内</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1期：支付比例30%,双方签订技术服务合同，中标人提供等额发票后5个工作日内支付中标人技术服务费总额的30%；</w:t>
            </w:r>
          </w:p>
          <w:p>
            <w:pPr>
              <w:pStyle w:val="null3"/>
            </w:pPr>
          </w:p>
          <w:p>
            <w:pPr>
              <w:pStyle w:val="null3"/>
            </w:pPr>
            <w:r>
              <w:rPr/>
              <w:t>2期：支付比例30%,中标人提交初步成果，中标人提供等额发票后10个工作日内支付中标人技术服务费总额的30%；</w:t>
            </w:r>
          </w:p>
          <w:p>
            <w:pPr>
              <w:pStyle w:val="null3"/>
            </w:pPr>
          </w:p>
          <w:p>
            <w:pPr>
              <w:pStyle w:val="null3"/>
            </w:pPr>
            <w:r>
              <w:rPr/>
              <w:t>3期：支付比例30%,中标人提交中期成果，中标人提供等额发票后10个工作日内支付中标人技术服务费总额的30%；</w:t>
            </w:r>
          </w:p>
          <w:p>
            <w:pPr>
              <w:pStyle w:val="null3"/>
            </w:pPr>
          </w:p>
          <w:p>
            <w:pPr>
              <w:pStyle w:val="null3"/>
            </w:pPr>
            <w:r>
              <w:rPr/>
              <w:t>4期：支付比例10%,中标人根据意见修改完善，提交最终成果并通过采购人验收，中标人提供等额发票后10个工作日内支付中标人技术服务费总额的10%。 注：1.合同价款含成果文本印刷费、税费以及现场查勘、交通、会议、专家评审等费用。 2．中标人须根据采购人分期支付的技术服务费开具相应的发票金额，在采购人支付技术服务费的 5 个工作日前，中标人应向采购人提供相应金额的正式完税发票。 3．中标人提供上述合法有效发票是采购人付款的前提条件，逾期不提供的，采购人可以顺延付款时间并无需承担任何责任。中标人不按合同约定提供发票给采购人造成损失的，由中标人承担。 4.因采购人使用的是财政资金，采购人规定的付款时间为向政府采购支付部门提出办理财政支付申请手续的时间（不含政府财政支付部门审核的时间），在规定时间内提出支付申请手续后即视为采购人履行支付义务。采购人将跟踪财政部门资金支付情况，直至款项到账。</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1期：1．中标人完成技术服务工作的形式：依据本项目采购需求和采购人要求提交工作成果。 2．技术服务工作成果的验收标准：设计成果必须符合行业规范、地方通用标准以及项目采购需求和采购人的要求。 3．技术服务工作成果的验收方法：采购人组织审查。 4．验收的时间和地点：验收时间由采购人另行确定，验收地点在广州市。</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保密要求，保密要求： 双方确定因履行本项目合同应遵守的保密义务如下： 采购人：     1.保密内容（包括技术信息和经营信息）：与本次工作有关的信息和资料 ；     2.涉密人员范围:参与本次工作的全体人员；     3.保密期限：（1）一般资料的保密期限与项目期限一致；（2）涉密资料按照《中华人民共和国保守国家秘密法》有关保密期限的规定执行；（3）具体可根据采购人要求再作协商。      4.泄密责任：按照法律规定承担有关责任。 中标人：     1.保密内容（包括技术信息和经营信息）:与本次工作有关的信息和资料；       2.涉密人员范围：参与本次工作的全体人员；     3.保密期限：（1）一般资料的保密期限与项目期限一致；（2）涉密资料按照《中华人民共和国保守国家秘密法》有关保密期限的规定执行；（3）具体可根据采购人要求再作协商。  4．泄密责任：按照法律规定承担有关责任。</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海珠区面向实施的近中期交通提升规划</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2,730,000.00</w:t>
            </w:r>
          </w:p>
        </w:tc>
        <w:tc>
          <w:tcPr>
            <w:tcW w:type="dxa" w:w="933"/>
          </w:tcPr>
          <w:p>
            <w:pPr>
              <w:pStyle w:val="null3"/>
              <w:jc w:val="right"/>
            </w:pPr>
            <w:r>
              <w:rPr/>
              <w:t>2,730,000.00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海珠区面向实施的近中期交通提升规划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outlineLvl w:val="0"/>
            </w:pPr>
            <w:r>
              <w:rPr>
                <w:b/>
                <w:sz w:val="24"/>
              </w:rPr>
              <w:t>一、工作内容</w:t>
            </w:r>
          </w:p>
          <w:p>
            <w:pPr>
              <w:pStyle w:val="null3"/>
            </w:pPr>
            <w:r>
              <w:rPr>
                <w:sz w:val="21"/>
              </w:rPr>
              <w:t>本次规划在分析检讨海珠区的交通设施现状存在问题，系统整合广州市和海珠区国土空间规划、广州市城市更新专项规划、城中村改造专项规划、海珠区综合交通规划等既有规划成果，对接区内重点功能区的土地利用规划和城市设计成果，提出解决目前以及未来规划期内道路、非机动车交通问题的提升规划方案，尤其侧重于城市更新地区、环湿地片区、中大国际创新谷、新城市中轴线、琶洲数字经济示范区等战略性地区，方案深度达到控规深度。并依据海珠区城市建设计划，提出交通设施分期建设计划。</w:t>
            </w:r>
          </w:p>
          <w:p>
            <w:pPr>
              <w:pStyle w:val="null3"/>
              <w:ind w:firstLine="422"/>
            </w:pPr>
            <w:r>
              <w:rPr>
                <w:b/>
                <w:sz w:val="21"/>
              </w:rPr>
              <w:t>1、城市发展与交通现状分析</w:t>
            </w:r>
          </w:p>
          <w:p>
            <w:pPr>
              <w:pStyle w:val="null3"/>
            </w:pPr>
            <w:r>
              <w:rPr>
                <w:sz w:val="21"/>
              </w:rPr>
              <w:t>调查梳理海珠区现状土地利用开发与交通设施现状情况，通过实地调研、数据分析等技术手段分析海珠区的交通特性及交通设施运作情况，分析海珠区道路、非机动车系统等现状情况，评估交通现状存在问题。</w:t>
            </w:r>
          </w:p>
          <w:p>
            <w:pPr>
              <w:pStyle w:val="null3"/>
              <w:ind w:firstLine="422"/>
            </w:pPr>
            <w:r>
              <w:rPr>
                <w:b/>
                <w:sz w:val="21"/>
              </w:rPr>
              <w:t>2、交通发展趋势分析</w:t>
            </w:r>
          </w:p>
          <w:p>
            <w:pPr>
              <w:pStyle w:val="null3"/>
            </w:pPr>
            <w:r>
              <w:rPr>
                <w:sz w:val="21"/>
              </w:rPr>
              <w:t>通过解读广州市国土空间规划、广州交通发展战略规划、广州市城市更新专项规划、海珠区国土空间规划等上层次规划，对接新城市中轴线等重点功能区的土地利用规划和城市设计方案，结合地区价值的提升和经济与人口发展，分析海珠区的交通特性和未来发展要求，预测交通发展需求，评估分析既有的</w:t>
            </w:r>
            <w:r>
              <w:rPr>
                <w:sz w:val="21"/>
              </w:rPr>
              <w:t>2035年交通规划方案运作情况，为方案的制定提供基础。</w:t>
            </w:r>
          </w:p>
          <w:p>
            <w:pPr>
              <w:pStyle w:val="null3"/>
              <w:ind w:firstLine="422"/>
            </w:pPr>
            <w:r>
              <w:rPr>
                <w:b/>
                <w:sz w:val="21"/>
              </w:rPr>
              <w:t>3、规划策略</w:t>
            </w:r>
          </w:p>
          <w:p>
            <w:pPr>
              <w:pStyle w:val="null3"/>
            </w:pPr>
            <w:r>
              <w:rPr>
                <w:sz w:val="21"/>
              </w:rPr>
              <w:t>考虑规划前瞻性和适应性，结合海珠区城市发展要求和交通特性，以及各重点功能区的发展侧重点，提出海珠区交通规划目标及策略。</w:t>
            </w:r>
          </w:p>
          <w:p>
            <w:pPr>
              <w:pStyle w:val="null3"/>
              <w:ind w:firstLine="422"/>
            </w:pPr>
            <w:r>
              <w:rPr>
                <w:b/>
                <w:sz w:val="21"/>
              </w:rPr>
              <w:t>4、面向实施的重要道路、节点控制性优化方案研究</w:t>
            </w:r>
          </w:p>
          <w:p>
            <w:pPr>
              <w:pStyle w:val="null3"/>
            </w:pPr>
            <w:r>
              <w:rPr>
                <w:sz w:val="21"/>
              </w:rPr>
              <w:t>结合既有规划方案的定量评估，对既有规划的重要干道、节点的方案进行检讨，分析实施难点，对接重点功能区的用地方案、城市设计方案和发展要求，结合生态、历史等保护要求，以可实施为前提，对尚未规划实施的重要干道、节点进行分析论证，提出其控制性详细规划优化方案和控制方案，便于对接控规预留实施条件，提升道路系统对重点功能区的支撑水平。在方案研究的过程中，如涉及对骨架路网的调整，将按照有关的管理要求提供相关分析论证。</w:t>
            </w:r>
          </w:p>
          <w:p>
            <w:pPr>
              <w:pStyle w:val="null3"/>
              <w:ind w:firstLine="422"/>
            </w:pPr>
            <w:r>
              <w:rPr>
                <w:b/>
                <w:sz w:val="21"/>
              </w:rPr>
              <w:t>5、城市更新与交通协调实施方案研究</w:t>
            </w:r>
          </w:p>
          <w:p>
            <w:pPr>
              <w:pStyle w:val="null3"/>
            </w:pPr>
            <w:r>
              <w:rPr>
                <w:sz w:val="21"/>
              </w:rPr>
              <w:t>以城市更新与城市交通的时序协调、供需协调为目标，结合城市更新项目、交通系统建设项目和承载能力情况，对全区的城市更新与交通特征和系统功能的适应性展开研究，理清城市更新与交通系统之间的供求的关系，提出合理的城市更新时序计划和交通系统建设计划，实现各阶段的城市更新的规模与用途与地区交通承载力相匹配。</w:t>
            </w:r>
          </w:p>
          <w:p>
            <w:pPr>
              <w:pStyle w:val="null3"/>
              <w:ind w:firstLine="422"/>
            </w:pPr>
            <w:r>
              <w:rPr>
                <w:b/>
                <w:sz w:val="21"/>
              </w:rPr>
              <w:t>6、轨道交通提升方案研究</w:t>
            </w:r>
          </w:p>
          <w:p>
            <w:pPr>
              <w:pStyle w:val="null3"/>
            </w:pPr>
            <w:r>
              <w:rPr>
                <w:sz w:val="21"/>
              </w:rPr>
              <w:t>依据各重点功能区的土地利用方案，分析既有轨道交通方案与土地利用方案的耦合情况，结合用地情况、城市更新情况以及轨道实施条件，提出轨道交通的相关提升建议，支撑重点功能区的发展。</w:t>
            </w:r>
          </w:p>
          <w:p>
            <w:pPr>
              <w:pStyle w:val="null3"/>
              <w:ind w:firstLine="422"/>
            </w:pPr>
            <w:r>
              <w:rPr>
                <w:b/>
                <w:sz w:val="21"/>
              </w:rPr>
              <w:t>7、非机动车交通改善方案研究</w:t>
            </w:r>
          </w:p>
          <w:p>
            <w:pPr>
              <w:pStyle w:val="null3"/>
            </w:pPr>
            <w:r>
              <w:rPr>
                <w:sz w:val="21"/>
              </w:rPr>
              <w:t>针对海珠区现状非机动车的交通问题，分析非机动车交通的承载容量，提出非机动交通提升指引和规划建议，包括非车道提升改造指引、交叉口提升改造指引、非机动车交通管控相关建议等。</w:t>
            </w:r>
          </w:p>
          <w:p>
            <w:pPr>
              <w:pStyle w:val="null3"/>
              <w:ind w:firstLine="422"/>
            </w:pPr>
            <w:r>
              <w:rPr>
                <w:b/>
                <w:sz w:val="21"/>
              </w:rPr>
              <w:t>8、实施行动计划</w:t>
            </w:r>
          </w:p>
          <w:p>
            <w:pPr>
              <w:pStyle w:val="null3"/>
            </w:pPr>
            <w:r>
              <w:rPr>
                <w:sz w:val="21"/>
              </w:rPr>
              <w:t>结合地区城市发展、用地收储及城市更新等计划，充分考虑新建交通设施与周边的衔接，以及对周边环境的影响，根据轻重缓急提出海珠区的交通建设的分期实施行动计划（如三、五、十年等行动计划）。</w:t>
            </w:r>
          </w:p>
          <w:p>
            <w:pPr>
              <w:pStyle w:val="null3"/>
              <w:ind w:firstLine="480"/>
              <w:jc w:val="both"/>
              <w:outlineLvl w:val="0"/>
            </w:pPr>
            <w:r>
              <w:rPr>
                <w:b/>
                <w:sz w:val="24"/>
              </w:rPr>
              <w:t>二、成果要求</w:t>
            </w:r>
          </w:p>
          <w:p>
            <w:pPr>
              <w:pStyle w:val="null3"/>
              <w:ind w:firstLine="425"/>
              <w:jc w:val="both"/>
            </w:pPr>
            <w:r>
              <w:rPr>
                <w:sz w:val="21"/>
              </w:rPr>
              <w:t>规划成果应包括文本和相关图纸。成果的表达应当清晰、完整、准确、规范，同类图纸规格应尽量统一，成果文件应当以书面和电子文件两种方式表达。纸质文件包括文本、附图等，报告文本规格应为</w:t>
            </w:r>
            <w:r>
              <w:rPr>
                <w:sz w:val="21"/>
              </w:rPr>
              <w:t>A4（210mm×297mm）或A3（297mm×420mm）；附图规格应为A4（210mm×297mm）或A3（297mm×420mm），特殊情况可采用更大尺寸规格。电子文件应包括全部研究成果及电子幻灯片（PPT）等文件，文本文件应采用Microsoft Word 2004或以上版本的DOC或DOCX格式文件，图纸文件应采用AutoCAD 2004或以上版本的DWG格式文件，汇报演示文件应采用PPT格式。</w:t>
            </w:r>
          </w:p>
          <w:p>
            <w:pPr>
              <w:pStyle w:val="null3"/>
              <w:ind w:firstLine="480"/>
              <w:jc w:val="both"/>
            </w:pPr>
            <w:r>
              <w:rPr>
                <w:b/>
                <w:sz w:val="24"/>
              </w:rPr>
              <w:t>三、技术服务要求</w:t>
            </w:r>
          </w:p>
          <w:p>
            <w:pPr>
              <w:pStyle w:val="null3"/>
              <w:ind w:firstLine="420"/>
              <w:jc w:val="both"/>
            </w:pPr>
            <w:r>
              <w:rPr>
                <w:sz w:val="21"/>
              </w:rPr>
              <w:t>（一）</w:t>
            </w:r>
            <w:r>
              <w:rPr>
                <w:b/>
                <w:sz w:val="21"/>
              </w:rPr>
              <w:t>进度要求</w:t>
            </w:r>
          </w:p>
          <w:p>
            <w:pPr>
              <w:pStyle w:val="null3"/>
              <w:ind w:firstLine="420"/>
              <w:jc w:val="both"/>
            </w:pPr>
            <w:r>
              <w:rPr>
                <w:sz w:val="21"/>
              </w:rPr>
              <w:t>（</w:t>
            </w:r>
            <w:r>
              <w:rPr>
                <w:sz w:val="21"/>
              </w:rPr>
              <w:t>1）第一阶段（合同签订后4个月）：完成资料收集工作，形成初步成果。</w:t>
            </w:r>
          </w:p>
          <w:p>
            <w:pPr>
              <w:pStyle w:val="null3"/>
              <w:ind w:firstLine="420"/>
              <w:jc w:val="both"/>
            </w:pPr>
            <w:r>
              <w:rPr>
                <w:sz w:val="21"/>
              </w:rPr>
              <w:t>（</w:t>
            </w:r>
            <w:r>
              <w:rPr>
                <w:sz w:val="21"/>
              </w:rPr>
              <w:t>2）第二阶段（合同签订后10个月）：根据意见修改完善，形成中期成果。</w:t>
            </w:r>
          </w:p>
          <w:p>
            <w:pPr>
              <w:pStyle w:val="null3"/>
              <w:ind w:firstLine="420"/>
              <w:jc w:val="both"/>
            </w:pPr>
            <w:r>
              <w:rPr>
                <w:sz w:val="21"/>
              </w:rPr>
              <w:t>（</w:t>
            </w:r>
            <w:r>
              <w:rPr>
                <w:sz w:val="21"/>
              </w:rPr>
              <w:t>3）第三阶段（合同签订后16个月）：根据意见修改完善，形成最终成果。</w:t>
            </w:r>
          </w:p>
          <w:p>
            <w:pPr>
              <w:pStyle w:val="null3"/>
              <w:ind w:firstLine="420"/>
              <w:jc w:val="both"/>
            </w:pPr>
            <w:r>
              <w:rPr>
                <w:sz w:val="21"/>
              </w:rPr>
              <w:t>（</w:t>
            </w:r>
            <w:r>
              <w:rPr>
                <w:sz w:val="21"/>
              </w:rPr>
              <w:t>4）第四阶段（合同签订后24个月）：后续服务期。</w:t>
            </w:r>
          </w:p>
          <w:p>
            <w:pPr>
              <w:pStyle w:val="null3"/>
              <w:ind w:left="420" w:firstLine="480"/>
              <w:jc w:val="both"/>
            </w:pPr>
            <w:r>
              <w:rPr>
                <w:sz w:val="21"/>
              </w:rPr>
              <w:t>（二）如项目实际开展进度因非中标人原因有所变化，双方科协商调整工作进度，适当调整技术服务期限。</w:t>
            </w:r>
          </w:p>
          <w:p>
            <w:pPr>
              <w:pStyle w:val="null3"/>
              <w:ind w:firstLine="425"/>
              <w:jc w:val="both"/>
            </w:pPr>
            <w:r>
              <w:rPr>
                <w:b/>
                <w:sz w:val="21"/>
              </w:rPr>
              <w:t>（三）技术服务质量要求</w:t>
            </w:r>
          </w:p>
          <w:p>
            <w:pPr>
              <w:pStyle w:val="null3"/>
              <w:ind w:firstLine="425"/>
              <w:jc w:val="both"/>
            </w:pPr>
            <w:r>
              <w:rPr>
                <w:sz w:val="21"/>
              </w:rPr>
              <w:t>符合国家有关法律、法规和政策的要求；符合广州市人民政府的政策方针策略；结合广州及国内外先进做法；研究成果具有可实施性。</w:t>
            </w:r>
          </w:p>
          <w:p>
            <w:pPr>
              <w:pStyle w:val="null3"/>
              <w:ind w:firstLine="480"/>
              <w:jc w:val="both"/>
            </w:pPr>
            <w:r>
              <w:rPr>
                <w:b/>
                <w:sz w:val="24"/>
              </w:rPr>
              <w:t>四、人员要求</w:t>
            </w:r>
          </w:p>
          <w:p>
            <w:pPr>
              <w:pStyle w:val="null3"/>
              <w:ind w:firstLine="425"/>
              <w:jc w:val="both"/>
            </w:pPr>
            <w:r>
              <w:rPr>
                <w:sz w:val="21"/>
              </w:rPr>
              <w:t>中标人应为本项目配备项目负责人及技术服务人员。</w:t>
            </w:r>
          </w:p>
          <w:p>
            <w:pPr>
              <w:pStyle w:val="null3"/>
              <w:ind w:firstLine="425"/>
              <w:jc w:val="both"/>
            </w:pPr>
            <w:r>
              <w:rPr>
                <w:sz w:val="21"/>
              </w:rPr>
              <w:t>项目负责人宜具备城市（乡）规划高级工程师职称、注册城市（乡）规划师资格、注册咨询工程师，参与过交通规划或交通研究类项目获得政府部门（国家有关职能机构或行政部门）颁发的奖项。</w:t>
            </w:r>
          </w:p>
          <w:p>
            <w:pPr>
              <w:pStyle w:val="null3"/>
              <w:ind w:firstLine="425"/>
              <w:jc w:val="both"/>
            </w:pPr>
            <w:r>
              <w:rPr>
                <w:sz w:val="21"/>
              </w:rPr>
              <w:t>技术服务人员（项目负责人除外）中应配备城市（乡）规划工程师。</w:t>
            </w:r>
          </w:p>
          <w:p>
            <w:pPr>
              <w:pStyle w:val="null3"/>
              <w:ind w:firstLine="480"/>
              <w:jc w:val="left"/>
            </w:pPr>
            <w:r>
              <w:rPr>
                <w:b/>
                <w:sz w:val="24"/>
              </w:rPr>
              <w:t>五、其他要求</w:t>
            </w:r>
          </w:p>
          <w:p>
            <w:pPr>
              <w:pStyle w:val="null3"/>
              <w:ind w:firstLine="420"/>
              <w:jc w:val="both"/>
            </w:pPr>
            <w:r>
              <w:rPr>
                <w:sz w:val="21"/>
              </w:rPr>
              <w:t>1.投标人宜具备开展同类项目的经验，包含但不限于</w:t>
            </w:r>
            <w:r>
              <w:rPr>
                <w:color w:val="000000"/>
                <w:sz w:val="21"/>
              </w:rPr>
              <w:t>综合交通规划类项目（含城市交通战略规划）、道路交通网络规划（或优化）类或轨道交通线网规划类项目、控制性详细规划交通专项项目</w:t>
            </w:r>
            <w:r>
              <w:rPr>
                <w:sz w:val="21"/>
              </w:rPr>
              <w:t>等相关项目承接经验。</w:t>
            </w:r>
          </w:p>
          <w:p>
            <w:pPr>
              <w:pStyle w:val="null3"/>
              <w:ind w:firstLine="420"/>
              <w:jc w:val="both"/>
            </w:pPr>
            <w:r>
              <w:rPr>
                <w:sz w:val="21"/>
              </w:rPr>
              <w:t>2.投标人承担过的</w:t>
            </w:r>
            <w:r>
              <w:rPr>
                <w:color w:val="000000"/>
                <w:sz w:val="21"/>
              </w:rPr>
              <w:t>交通规划或交通研究类项目</w:t>
            </w:r>
            <w:r>
              <w:rPr>
                <w:sz w:val="21"/>
              </w:rPr>
              <w:t>宜</w:t>
            </w:r>
            <w:r>
              <w:rPr>
                <w:sz w:val="21"/>
              </w:rPr>
              <w:t>获得</w:t>
            </w:r>
            <w:r>
              <w:rPr>
                <w:sz w:val="21"/>
              </w:rPr>
              <w:t>过政府部门（国家有关</w:t>
            </w:r>
            <w:r>
              <w:rPr>
                <w:sz w:val="21"/>
              </w:rPr>
              <w:t>职能机构或行政部门</w:t>
            </w:r>
            <w:r>
              <w:rPr>
                <w:sz w:val="21"/>
              </w:rPr>
              <w:t>）颁发</w:t>
            </w:r>
            <w:r>
              <w:rPr>
                <w:sz w:val="21"/>
              </w:rPr>
              <w:t>的</w:t>
            </w:r>
            <w:r>
              <w:rPr>
                <w:sz w:val="21"/>
              </w:rPr>
              <w:t>奖项。</w:t>
            </w:r>
          </w:p>
          <w:p>
            <w:pPr>
              <w:pStyle w:val="null3"/>
              <w:ind w:firstLine="420"/>
              <w:jc w:val="both"/>
            </w:pPr>
            <w:r>
              <w:rPr>
                <w:sz w:val="21"/>
              </w:rPr>
              <w:t>3.为了保障本项目的研究具备前沿性，投标人宜</w:t>
            </w:r>
            <w:r>
              <w:rPr>
                <w:color w:val="000000"/>
                <w:sz w:val="21"/>
              </w:rPr>
              <w:t>取得过城市交通方面相关专利。同时，为提高项目管理及沿线城市交通数据处理的能力，确保成果质量和数据的准确性，投标人在项目服务过程中应能提供应用交通数据分析与管理相关系统（软件）进行数据处理分析。</w:t>
            </w:r>
          </w:p>
          <w:p>
            <w:pPr>
              <w:pStyle w:val="null3"/>
              <w:ind w:firstLine="420"/>
              <w:jc w:val="both"/>
            </w:pPr>
            <w:r>
              <w:rPr>
                <w:sz w:val="21"/>
              </w:rPr>
              <w:t>4.投标人拟委派的项目负责人宜具有</w:t>
            </w:r>
            <w:r>
              <w:rPr>
                <w:color w:val="000000"/>
                <w:sz w:val="21"/>
              </w:rPr>
              <w:t>城市（乡）规划工程师</w:t>
            </w:r>
            <w:r>
              <w:rPr>
                <w:sz w:val="21"/>
              </w:rPr>
              <w:t>职称、注册城市</w:t>
            </w:r>
            <w:r>
              <w:rPr>
                <w:sz w:val="21"/>
              </w:rPr>
              <w:t>(乡）规划师资格、注册咨询工程师资格，</w:t>
            </w:r>
            <w:r>
              <w:rPr>
                <w:color w:val="000000"/>
                <w:sz w:val="21"/>
              </w:rPr>
              <w:t>参与编制过的交通规划或交通研究类项目获得过政府部门</w:t>
            </w:r>
            <w:r>
              <w:rPr>
                <w:sz w:val="21"/>
              </w:rPr>
              <w:t>（国家有关</w:t>
            </w:r>
            <w:r>
              <w:rPr>
                <w:sz w:val="21"/>
              </w:rPr>
              <w:t>职能机构或行政部门</w:t>
            </w:r>
            <w:r>
              <w:rPr>
                <w:sz w:val="21"/>
              </w:rPr>
              <w:t>）颁发的</w:t>
            </w:r>
            <w:r>
              <w:rPr>
                <w:color w:val="000000"/>
                <w:sz w:val="21"/>
              </w:rPr>
              <w:t>奖项</w:t>
            </w:r>
            <w:r>
              <w:rPr>
                <w:sz w:val="21"/>
              </w:rPr>
              <w:t>。</w:t>
            </w:r>
          </w:p>
          <w:p>
            <w:pPr>
              <w:pStyle w:val="null3"/>
              <w:ind w:firstLine="480"/>
              <w:jc w:val="both"/>
            </w:pPr>
            <w:r>
              <w:rPr>
                <w:sz w:val="21"/>
              </w:rPr>
              <w:t xml:space="preserve">    5.投标人拟委派的技术服务团队（项目负责人除外）宜配备</w:t>
            </w:r>
            <w:r>
              <w:rPr>
                <w:color w:val="000000"/>
                <w:sz w:val="21"/>
              </w:rPr>
              <w:t>交通规划或交通工程专业的城市（乡）规划工程师职称</w:t>
            </w:r>
            <w:r>
              <w:rPr>
                <w:sz w:val="21"/>
              </w:rPr>
              <w:t>的专业人员不少于</w:t>
            </w:r>
            <w:r>
              <w:rPr>
                <w:sz w:val="21"/>
              </w:rPr>
              <w:t>4人。</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1.采购代理机构：本项目是指广州群生招标代理有限公司，负责整个采购活动的组织，依法负责编制和发布招标文件，对招标文件拥有最终的解释权，不以任何身份出任评标委员会成员。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广州市海珠区规划编制研究中心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中标人须向采购代理机构交纳代理服务费，本项目的代理服务费执行以下价格：（1）以项目的中标金额作为收费的计算基数；（2）预算金额在100万以下的，代理服务费按1.5%计算；101万到500万的，按0.8%计算（3）代理服务收费按差额定率累进法计算；（4）代理服务费币种与《中标通知书》的币种相同；（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广州群生招标代理有限公司官网（http://gzqunsheng.com/）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广州群生招标代理有限公司官网（http://gzqunsheng.com/）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叶工</w:t>
      </w:r>
    </w:p>
    <w:p>
      <w:pPr>
        <w:pStyle w:val="null3"/>
        <w:ind w:firstLine="480"/>
      </w:pPr>
      <w:r>
        <w:rPr/>
        <w:t>电话：</w:t>
      </w:r>
      <w:r>
        <w:rPr/>
        <w:t>020-83812782、020-83812935，18011735206</w:t>
      </w:r>
    </w:p>
    <w:p>
      <w:pPr>
        <w:pStyle w:val="null3"/>
        <w:ind w:firstLine="480"/>
      </w:pPr>
      <w:r>
        <w:rPr/>
        <w:t>传真：</w:t>
      </w:r>
      <w:r>
        <w:rPr/>
        <w:t>/</w:t>
      </w:r>
    </w:p>
    <w:p>
      <w:pPr>
        <w:pStyle w:val="null3"/>
        <w:ind w:firstLine="480"/>
      </w:pPr>
      <w:r>
        <w:rPr/>
        <w:t>邮箱：</w:t>
      </w:r>
      <w:r>
        <w:rPr/>
        <w:t>gzqunsheng@gzqunsheng.com</w:t>
      </w:r>
    </w:p>
    <w:p>
      <w:pPr>
        <w:pStyle w:val="null3"/>
        <w:ind w:firstLine="480"/>
      </w:pPr>
      <w:r>
        <w:rPr/>
        <w:t>地址：</w:t>
      </w:r>
      <w:r>
        <w:rPr/>
        <w:t>广州市越秀区东风东路555号粤海集团大厦2204</w:t>
      </w:r>
    </w:p>
    <w:p>
      <w:pPr>
        <w:pStyle w:val="null3"/>
        <w:ind w:firstLine="480"/>
      </w:pPr>
      <w:r>
        <w:rPr/>
        <w:t>邮编：</w:t>
      </w:r>
      <w:r>
        <w:rPr/>
        <w:t>510000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政府采购监督管理机构名称：广州市海珠区财政局综合法规科</w:t>
      </w:r>
    </w:p>
    <w:p>
      <w:pPr>
        <w:pStyle w:val="null3"/>
      </w:pPr>
      <w:r>
        <w:rPr/>
        <w:t>地  址：广州市海珠区宝岗大道龙骧大街5号</w:t>
      </w:r>
    </w:p>
    <w:p>
      <w:pPr>
        <w:pStyle w:val="null3"/>
      </w:pPr>
      <w:r>
        <w:rPr/>
        <w:t>电  话：020-84121563、020-84156814</w:t>
      </w:r>
    </w:p>
    <w:p>
      <w:pPr>
        <w:pStyle w:val="null3"/>
      </w:pPr>
      <w:r>
        <w:rPr/>
        <w:t>邮  编：510220</w:t>
      </w:r>
    </w:p>
    <w:p>
      <w:pPr>
        <w:pStyle w:val="null3"/>
      </w:pPr>
      <w:r>
        <w:rPr/>
        <w:t>传  真：</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海珠区面向实施的近中期交通提升规划)：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广州群生招标代理有限公司</w:t>
      </w:r>
      <w:r>
        <w:rPr/>
        <w:t>统一对外发布。</w:t>
      </w:r>
    </w:p>
    <w:p>
      <w:pPr>
        <w:pStyle w:val="null3"/>
        <w:ind w:firstLine="480"/>
      </w:pPr>
      <w:r>
        <w:rPr/>
        <w:t>（2）对</w:t>
      </w:r>
      <w:r>
        <w:rPr/>
        <w:t>广州群生招标代理有限公司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采购包1（海珠区面向实施的近中期交通提升规划）：</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采购包1（海珠区面向实施的近中期交通提升规划）：</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或执业许可证）复印件，如分公司投标的，必须持有法人资格的总公司营业执照复印件及针对本项目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人资格声明函》（格式详见公告附件）。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等服务的供应商，不得再参与本项目投标（响应）。提供《投标人资格声明函》（格式详见公告附件）。</w:t>
            </w:r>
          </w:p>
        </w:tc>
      </w:tr>
      <w:tr>
        <w:tc>
          <w:tcPr>
            <w:tcW w:type="dxa" w:w="890"/>
          </w:tcPr>
          <w:p>
            <w:pPr>
              <w:pStyle w:val="null3"/>
            </w:pPr>
            <w:r>
              <w:rPr/>
              <w:t>8</w:t>
            </w:r>
          </w:p>
        </w:tc>
        <w:tc>
          <w:tcPr>
            <w:tcW w:type="dxa" w:w="3178"/>
          </w:tcPr>
          <w:p>
            <w:pPr>
              <w:pStyle w:val="null3"/>
            </w:pPr>
            <w:r>
              <w:rPr/>
              <w:t>特定资质要求</w:t>
            </w:r>
          </w:p>
        </w:tc>
        <w:tc>
          <w:tcPr>
            <w:tcW w:type="dxa" w:w="4238"/>
          </w:tcPr>
          <w:p>
            <w:pPr>
              <w:pStyle w:val="null3"/>
            </w:pPr>
            <w:r>
              <w:rPr/>
              <w:t>投标人具有行政相关部门颁发的城乡规划编制甲级资质。（按照自然资源部2023年12月29日《自然资源部办公厅关于城乡规划编制单位甲级资质证书延期有关事宜的通知》（自然资办函〔2023〕2717号），自然资源部核发的有效期至2023年12月31日的城乡规划编制单位甲级资质证书，有效期延长至2025年12月31日。如相关主管部门有最新政策，按最新政策执行）。</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整体专门面向中小企业采购,供应商应为中小微企业、监狱企业、残疾人福利性单位。【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p>
    <w:p>
      <w:pPr>
        <w:pStyle w:val="null3"/>
      </w:pPr>
      <w:r>
        <w:rPr/>
        <w:t>采购包1（海珠区面向实施的近中期交通提升规划）：</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3</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4</w:t>
            </w:r>
          </w:p>
        </w:tc>
        <w:tc>
          <w:tcPr>
            <w:tcW w:type="dxa" w:w="3178"/>
          </w:tcPr>
          <w:p>
            <w:pPr>
              <w:pStyle w:val="null3"/>
            </w:pPr>
            <w:r>
              <w:rPr/>
              <w:t>投标报价未超过本项目最高限价（预算金额）</w:t>
            </w:r>
          </w:p>
        </w:tc>
        <w:tc>
          <w:tcPr>
            <w:tcW w:type="dxa" w:w="4238"/>
          </w:tcPr>
          <w:p>
            <w:pPr>
              <w:pStyle w:val="null3"/>
            </w:pPr>
            <w:r>
              <w:rPr/>
              <w:t>投标报价是否固定唯一，且投标报价没有超过最高限价（预算金额）。</w:t>
            </w:r>
          </w:p>
        </w:tc>
      </w:tr>
      <w:tr>
        <w:tc>
          <w:tcPr>
            <w:tcW w:type="dxa" w:w="890"/>
          </w:tcPr>
          <w:p>
            <w:pPr>
              <w:pStyle w:val="null3"/>
            </w:pPr>
            <w:r>
              <w:rPr/>
              <w:t>5</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6</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采购包1(海珠区面向实施的近中期交通提升规划):</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对项目的熟悉和了解程度 (5.0分)</w:t>
            </w:r>
            <w:r>
              <w:rPr/>
              <w:t>，（等次分值选择：</w:t>
            </w:r>
            <w:r>
              <w:rPr/>
              <w:t>0.0;</w:t>
            </w:r>
            <w:r>
              <w:rPr/>
              <w:t>1.0;</w:t>
            </w:r>
            <w:r>
              <w:rPr/>
              <w:t>3.0;</w:t>
            </w:r>
            <w:r>
              <w:rPr/>
              <w:t>5.0;</w:t>
            </w:r>
            <w:r>
              <w:rPr/>
              <w:t>）</w:t>
            </w:r>
          </w:p>
        </w:tc>
        <w:tc>
          <w:tcPr>
            <w:tcW w:type="dxa" w:w="5076"/>
          </w:tcPr>
          <w:p>
            <w:pPr>
              <w:pStyle w:val="null3"/>
              <w:jc w:val="left"/>
            </w:pPr>
            <w:r>
              <w:rPr/>
              <w:t>根据投标人对本项目的熟悉和了解程度进行评审：  （1）投标人充分理解和掌握本项目背景和工作目标，熟悉和了解本项目工作内容，完全符合采购需求，得5分； （2）投标人能理解和掌握本项目背景和目标，基本了解本项目工作内容，基本符合采购需求，得3分； （3）投标人能理解部分本项目背景和目标，一定程度了解本项目工作内容，脱离采购需求，得1分； （4）未提供相关内容，得0分。</w:t>
            </w:r>
          </w:p>
        </w:tc>
      </w:tr>
      <w:tr>
        <w:tc>
          <w:tcPr>
            <w:tcW w:type="dxa" w:w="922"/>
            <w:gridSpan w:val="2"/>
            <w:vMerge/>
          </w:tcPr>
          <w:p/>
        </w:tc>
        <w:tc>
          <w:tcPr>
            <w:tcW w:type="dxa" w:w="2307"/>
          </w:tcPr>
          <w:p>
            <w:pPr>
              <w:pStyle w:val="null3"/>
              <w:jc w:val="left"/>
            </w:pPr>
            <w:r>
              <w:rPr/>
              <w:t>对现状及规划基础的认知 (8.0分)</w:t>
            </w:r>
            <w:r>
              <w:rPr/>
              <w:t>，（等次分值选择：</w:t>
            </w:r>
            <w:r>
              <w:rPr/>
              <w:t>0.0;</w:t>
            </w:r>
            <w:r>
              <w:rPr/>
              <w:t>1.0;</w:t>
            </w:r>
            <w:r>
              <w:rPr/>
              <w:t>3.0;</w:t>
            </w:r>
            <w:r>
              <w:rPr/>
              <w:t>6.0;</w:t>
            </w:r>
            <w:r>
              <w:rPr/>
              <w:t>8.0;</w:t>
            </w:r>
            <w:r>
              <w:rPr/>
              <w:t>）</w:t>
            </w:r>
          </w:p>
        </w:tc>
        <w:tc>
          <w:tcPr>
            <w:tcW w:type="dxa" w:w="5076"/>
          </w:tcPr>
          <w:p>
            <w:pPr>
              <w:pStyle w:val="null3"/>
              <w:jc w:val="left"/>
            </w:pPr>
            <w:r>
              <w:rPr/>
              <w:t>对海珠区交通发展现状及规划基础的认知程度进行评审： （1）投标人对本项目所在地交通现状及规划基础认知全面深入，解读全面、具体，得8分； （2）投标人对本项目所在地交通现状及规划基础认知深入基本全面，解读基本清晰、具体，得6分； （3）投标人对本项目所在地交通现状及规划基础认知具有一定的准确度，解读具有一定的清晰度但简略，得3分； （4）投标人对本项目所在地交通现状及规划基础认知浅显，缺乏准确度，解读模糊不清晰，得1分； （5）未提供相关内容，得0分。</w:t>
            </w:r>
          </w:p>
        </w:tc>
      </w:tr>
      <w:tr>
        <w:tc>
          <w:tcPr>
            <w:tcW w:type="dxa" w:w="922"/>
            <w:gridSpan w:val="2"/>
            <w:vMerge/>
          </w:tcPr>
          <w:p/>
        </w:tc>
        <w:tc>
          <w:tcPr>
            <w:tcW w:type="dxa" w:w="2307"/>
          </w:tcPr>
          <w:p>
            <w:pPr>
              <w:pStyle w:val="null3"/>
              <w:jc w:val="left"/>
            </w:pPr>
            <w:r>
              <w:rPr/>
              <w:t>规划思路和技术路线 (7.0分)</w:t>
            </w:r>
            <w:r>
              <w:rPr/>
              <w:t>，（等次分值选择：</w:t>
            </w:r>
            <w:r>
              <w:rPr/>
              <w:t>0.0;</w:t>
            </w:r>
            <w:r>
              <w:rPr/>
              <w:t>2.0;</w:t>
            </w:r>
            <w:r>
              <w:rPr/>
              <w:t>5.0;</w:t>
            </w:r>
            <w:r>
              <w:rPr/>
              <w:t>7.0;</w:t>
            </w:r>
            <w:r>
              <w:rPr/>
              <w:t>）</w:t>
            </w:r>
          </w:p>
        </w:tc>
        <w:tc>
          <w:tcPr>
            <w:tcW w:type="dxa" w:w="5076"/>
          </w:tcPr>
          <w:p>
            <w:pPr>
              <w:pStyle w:val="null3"/>
              <w:jc w:val="left"/>
            </w:pPr>
            <w:r>
              <w:rPr/>
              <w:t>对本项目的规划思路及技术路线进行评审： （1）涵盖上述所有内容且规划思路清晰、内容点明确，技术路线清晰合理、切实可行，统筹性强，得7分； （2）涵盖上述所有内容且规划思路清晰、内容点基本明确，技术路线基本清晰合理、具有一定的可行性、统筹性，得5分； （3）涵盖上述所有内容但规划思路模糊、内容点不明确，技术路线缺乏合理性、可行性，得2分； （4）未提供相关内容，得0分。</w:t>
            </w:r>
          </w:p>
        </w:tc>
      </w:tr>
      <w:tr>
        <w:tc>
          <w:tcPr>
            <w:tcW w:type="dxa" w:w="922"/>
            <w:gridSpan w:val="2"/>
            <w:vMerge/>
          </w:tcPr>
          <w:p/>
        </w:tc>
        <w:tc>
          <w:tcPr>
            <w:tcW w:type="dxa" w:w="2307"/>
          </w:tcPr>
          <w:p>
            <w:pPr>
              <w:pStyle w:val="null3"/>
              <w:jc w:val="left"/>
            </w:pPr>
            <w:r>
              <w:rPr/>
              <w:t>项目的重难点及对策 (10.0分)</w:t>
            </w:r>
            <w:r>
              <w:rPr/>
              <w:t>，（等次分值选择：</w:t>
            </w:r>
            <w:r>
              <w:rPr/>
              <w:t>0.0;</w:t>
            </w:r>
            <w:r>
              <w:rPr/>
              <w:t>1.0;</w:t>
            </w:r>
            <w:r>
              <w:rPr/>
              <w:t>4.0;</w:t>
            </w:r>
            <w:r>
              <w:rPr/>
              <w:t>7.0;</w:t>
            </w:r>
            <w:r>
              <w:rPr/>
              <w:t>10.0;</w:t>
            </w:r>
            <w:r>
              <w:rPr/>
              <w:t>）</w:t>
            </w:r>
          </w:p>
        </w:tc>
        <w:tc>
          <w:tcPr>
            <w:tcW w:type="dxa" w:w="5076"/>
          </w:tcPr>
          <w:p>
            <w:pPr>
              <w:pStyle w:val="null3"/>
              <w:jc w:val="left"/>
            </w:pPr>
            <w:r>
              <w:rPr/>
              <w:t>对本项目的工作重点难点分析及对策措施进行评审： （1）贴合采购需求，对本项目重点难点了解程度高，分析准确全面，有合理可行的对策措施，得10分； （2）贴合采购需求，对本项目重点难点基本了解，分析基本准确、全面，具有相应对策措施且基本合理、可行，得7分； （3）贴合采购需求，分析具有一定的准确性，具有相应对策措施且具有一定的合理、可行性，得4分； （4）贴合采购需求，但是分析缺乏准确性、全面性，具有相应对策措施但是缺乏合理性、可行性，得1分； （5）未提供相关内容，得0分。</w:t>
            </w:r>
          </w:p>
        </w:tc>
      </w:tr>
      <w:tr>
        <w:tc>
          <w:tcPr>
            <w:tcW w:type="dxa" w:w="922"/>
            <w:gridSpan w:val="2"/>
            <w:vMerge/>
          </w:tcPr>
          <w:p/>
        </w:tc>
        <w:tc>
          <w:tcPr>
            <w:tcW w:type="dxa" w:w="2307"/>
          </w:tcPr>
          <w:p>
            <w:pPr>
              <w:pStyle w:val="null3"/>
              <w:jc w:val="left"/>
            </w:pPr>
            <w:r>
              <w:rPr/>
              <w:t>针对本项目提出的技术方案 (10.0分)</w:t>
            </w:r>
            <w:r>
              <w:rPr/>
              <w:t>，（等次分值选择：</w:t>
            </w:r>
            <w:r>
              <w:rPr/>
              <w:t>0.0;</w:t>
            </w:r>
            <w:r>
              <w:rPr/>
              <w:t>1.0;</w:t>
            </w:r>
            <w:r>
              <w:rPr/>
              <w:t>4.0;</w:t>
            </w:r>
            <w:r>
              <w:rPr/>
              <w:t>7.0;</w:t>
            </w:r>
            <w:r>
              <w:rPr/>
              <w:t>10.0;</w:t>
            </w:r>
            <w:r>
              <w:rPr/>
              <w:t>）</w:t>
            </w:r>
          </w:p>
        </w:tc>
        <w:tc>
          <w:tcPr>
            <w:tcW w:type="dxa" w:w="5076"/>
          </w:tcPr>
          <w:p>
            <w:pPr>
              <w:pStyle w:val="null3"/>
              <w:jc w:val="left"/>
            </w:pPr>
            <w:r>
              <w:rPr/>
              <w:t>根据投标人提出的技术方法、初步技术方案、分工安排进行评审： （1）贴合采购需求且技术把握程度高、方法可行有效，初步技术方案全面明晰，分工安排合理、可执行性高，得10分； （2）贴合采购需求，且基本把握技术，方法基本可行、效性，初步技术方案基本充分，分工安排基本合理、可行，得7分； （3）贴合采购需求，且基本把握技术，方法具有一定的可行有效性，初步技术方案较为充分，分工安排合理、具有一定的可执行性，得4分； （4）贴合采购需求，但技术把握程度不足、方法合理但不具可行性，初步技术方案不充分，分工安排缺乏合理性、可行性，得1分； （5）未提供相关内容，得0分。</w:t>
            </w:r>
          </w:p>
        </w:tc>
      </w:tr>
      <w:tr>
        <w:tc>
          <w:tcPr>
            <w:tcW w:type="dxa" w:w="922"/>
            <w:gridSpan w:val="2"/>
            <w:vMerge/>
          </w:tcPr>
          <w:p/>
        </w:tc>
        <w:tc>
          <w:tcPr>
            <w:tcW w:type="dxa" w:w="2307"/>
          </w:tcPr>
          <w:p>
            <w:pPr>
              <w:pStyle w:val="null3"/>
              <w:jc w:val="left"/>
            </w:pPr>
            <w:r>
              <w:rPr/>
              <w:t>技术保障、后期服务措施 (5.0分)</w:t>
            </w:r>
            <w:r>
              <w:rPr/>
              <w:t>，（等次分值选择：</w:t>
            </w:r>
            <w:r>
              <w:rPr/>
              <w:t>0.0;</w:t>
            </w:r>
            <w:r>
              <w:rPr/>
              <w:t>1.0;</w:t>
            </w:r>
            <w:r>
              <w:rPr/>
              <w:t>3.0;</w:t>
            </w:r>
            <w:r>
              <w:rPr/>
              <w:t>5.0;</w:t>
            </w:r>
            <w:r>
              <w:rPr/>
              <w:t>）</w:t>
            </w:r>
          </w:p>
        </w:tc>
        <w:tc>
          <w:tcPr>
            <w:tcW w:type="dxa" w:w="5076"/>
          </w:tcPr>
          <w:p>
            <w:pPr>
              <w:pStyle w:val="null3"/>
              <w:jc w:val="left"/>
            </w:pPr>
            <w:r>
              <w:rPr/>
              <w:t>对项目技术保障、后期服务措施是否符合项目的服务需要进行评审： （1）质量和技术保障措施可行，承诺提供后期服务，具有对本项目规划长期跟踪研究服务的能力，贴合采购需求，得5分； （2）有一定的项目质量和技术保障措施，承诺提供后续服务，服务内容基本合理，基本贴合采购需求，得3分； （3）项目质量和技术保障措施简略，承诺提供后续服务，服务内容含糊不确定，脱离采购需求，得1分； （4）未提供相关内容，得0分。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(7.0分)</w:t>
            </w:r>
          </w:p>
        </w:tc>
        <w:tc>
          <w:tcPr>
            <w:tcW w:type="dxa" w:w="5076"/>
          </w:tcPr>
          <w:p>
            <w:pPr>
              <w:pStyle w:val="null3"/>
              <w:jc w:val="left"/>
            </w:pPr>
            <w:r>
              <w:rPr/>
              <w:t>2018年1月1日至今，投标人承担同类项目业绩（包括但不限于综合交通规划类项目（含城市交通战略规划）、道路交通网络规划（或优化）类或轨道交通线网规划类项目、控制性详细规划交通专项项目），每提供一项得1分，本项最高得7分。 注：同一项目只计分一次；须提供服务合同关键页（含签订合同双方的单位名称、合同项目名称、项目内容与含签订合同双方的落款盖章、签订日期页）复印件，并加盖投标人公章，无或未按要求提供证明材料的不得分。</w:t>
            </w:r>
          </w:p>
        </w:tc>
      </w:tr>
      <w:tr>
        <w:tc>
          <w:tcPr>
            <w:tcW w:type="dxa" w:w="922"/>
            <w:gridSpan w:val="2"/>
            <w:vMerge/>
          </w:tcPr>
          <w:p/>
        </w:tc>
        <w:tc>
          <w:tcPr>
            <w:tcW w:type="dxa" w:w="2307"/>
          </w:tcPr>
          <w:p>
            <w:pPr>
              <w:pStyle w:val="null3"/>
              <w:jc w:val="left"/>
            </w:pPr>
            <w:r>
              <w:rPr/>
              <w:t>获奖情况 (6.0分)</w:t>
            </w:r>
          </w:p>
        </w:tc>
        <w:tc>
          <w:tcPr>
            <w:tcW w:type="dxa" w:w="5076"/>
          </w:tcPr>
          <w:p>
            <w:pPr>
              <w:pStyle w:val="null3"/>
              <w:jc w:val="left"/>
            </w:pPr>
            <w:r>
              <w:rPr/>
              <w:t>投标人参与编制过交通规划或交通研究类项目获得政府部门（国家有关职能机构或行政部门）颁发的奖项，每个奖项得1分，本项最高得6分（如与“项目负责人综合素质”中项目负责人为同一获奖项目，则只按最高得分计算一次，不可重复得分）。 注：需提供获奖证明复印件或有效的网络查询途径，同一项目只计分一次，不可累计得分。无或未按要求提供证明材料的不得分。</w:t>
            </w:r>
          </w:p>
        </w:tc>
      </w:tr>
      <w:tr>
        <w:tc>
          <w:tcPr>
            <w:tcW w:type="dxa" w:w="922"/>
            <w:gridSpan w:val="2"/>
            <w:vMerge/>
          </w:tcPr>
          <w:p/>
        </w:tc>
        <w:tc>
          <w:tcPr>
            <w:tcW w:type="dxa" w:w="2307"/>
          </w:tcPr>
          <w:p>
            <w:pPr>
              <w:pStyle w:val="null3"/>
              <w:jc w:val="left"/>
            </w:pPr>
            <w:r>
              <w:rPr/>
              <w:t>投标人综合实力 (7.0分)</w:t>
            </w:r>
          </w:p>
        </w:tc>
        <w:tc>
          <w:tcPr>
            <w:tcW w:type="dxa" w:w="5076"/>
          </w:tcPr>
          <w:p>
            <w:pPr>
              <w:pStyle w:val="null3"/>
              <w:jc w:val="left"/>
            </w:pPr>
            <w:r>
              <w:rPr/>
              <w:t>（1）2018年1月1日以来，投标人取得城市交通方面相关专利的，每项得1.5分。本小项最高得3分。 （2）为提高项目管理及沿线城市交通数据处理的能力，确保成果质量和数据的准确性，投标人在项目服务过程中能提供应用交通数据分析与管理相关系统（软件）进行数据处理分析，每个得2分。本小项最高得 4分。 注：（1）第1评审项需提供专利证书或软件著作权登记证书复印件，时间以证书颁发时间为准。（2）第2评审项需提供：购买的系统（软件）须提供购买发票及系统（软件）界面；自行研发的系统（软件）须提供著作权证书及系统（软件）界面。</w:t>
            </w:r>
          </w:p>
        </w:tc>
      </w:tr>
      <w:tr>
        <w:tc>
          <w:tcPr>
            <w:tcW w:type="dxa" w:w="922"/>
            <w:gridSpan w:val="2"/>
            <w:vMerge/>
          </w:tcPr>
          <w:p/>
        </w:tc>
        <w:tc>
          <w:tcPr>
            <w:tcW w:type="dxa" w:w="2307"/>
          </w:tcPr>
          <w:p>
            <w:pPr>
              <w:pStyle w:val="null3"/>
              <w:jc w:val="left"/>
            </w:pPr>
            <w:r>
              <w:rPr/>
              <w:t>项目负责人综合素质 (7.0分)</w:t>
            </w:r>
          </w:p>
        </w:tc>
        <w:tc>
          <w:tcPr>
            <w:tcW w:type="dxa" w:w="5076"/>
          </w:tcPr>
          <w:p>
            <w:pPr>
              <w:pStyle w:val="null3"/>
              <w:jc w:val="left"/>
            </w:pPr>
            <w:r>
              <w:rPr/>
              <w:t>（1）具有城市（乡）规划教授级高级工程师职称的得3分，具有城市（乡）规划高级工程师职称的得1分；具有注册城市（乡）规划师资格的得1分；具有注册咨询工程师资格的得1分；本小项最高得5分。 （2）参与编制过交通规划或交通研究类项目获得政府部门（国家有关职能机构或行政部门）颁发的奖项：每提供一个得2分，本小项最高得2分（如与“获奖情况”为同一获奖项目，则只按最高得分计算一次，不可重复得分）。 注：1.评审项1提供人员对应的有效职称证书、资格证书复印件；2.第2评审项提供人员对应的奖项相关文件复印件（如获奖证明材料未能体现项目负责人姓名的，则同时提供项目合同，合同需体现项目负责人姓名）；3.评审项除提供上述对应证明材料外，还需要同时提供投标人在社保系统打印的拟委任的项目负责人参加社保的缴费明细或其他能够证明拟委任的项目负责人参加社保的有效证明材料（社保时段为投标文件递交截止日前六个月内任意一个月）；4.无或未按要求提供证明材料的不得分。</w:t>
            </w:r>
          </w:p>
        </w:tc>
      </w:tr>
      <w:tr>
        <w:tc>
          <w:tcPr>
            <w:tcW w:type="dxa" w:w="922"/>
            <w:gridSpan w:val="2"/>
            <w:vMerge/>
          </w:tcPr>
          <w:p/>
        </w:tc>
        <w:tc>
          <w:tcPr>
            <w:tcW w:type="dxa" w:w="2307"/>
          </w:tcPr>
          <w:p>
            <w:pPr>
              <w:pStyle w:val="null3"/>
              <w:jc w:val="left"/>
            </w:pPr>
            <w:r>
              <w:rPr/>
              <w:t>拟本项目的技术服务团队成员情况（不含项目负责人） (8.0分)</w:t>
            </w:r>
          </w:p>
        </w:tc>
        <w:tc>
          <w:tcPr>
            <w:tcW w:type="dxa" w:w="5076"/>
          </w:tcPr>
          <w:p>
            <w:pPr>
              <w:pStyle w:val="null3"/>
              <w:jc w:val="left"/>
            </w:pPr>
            <w:r>
              <w:rPr/>
              <w:t>投标人拟派项目组成员（不包括项目负责人）情况： （1）具有城市（乡）规划高级工程师职称且属于交通规划或交通工程专业，每提供1个得2分，本小项最高得8分。 （2）具有城市（乡）规划高级工程师职称，但不属于交通规划或交通工程专业，每提供1个得1分，本小项最高得4分。 （3）具有城市（乡）规划中级工程师且属于交通规划或交通工程专业的，每提供1个得0.5分，本小项最高得2分；无或其他不得分。 注：本项总分最高得8分；1.交通相关专业应依据毕业证书为准，包括交通工程、交通运输工程、交通运输规划与管理等。2.提供对应人员的有效身份证、毕业证、职称资格证书和投标人在社保系统打印的拟委任的上述人员参加社保的缴费明细或其他能够证明拟委任的上述人员参加社保的有效证明材料（社保时段为投标文件递交截止日前六个月内任意一个月）；3.无或未按要求提供证明材料的不得分。4.同一人同时满足多项要求的，仅按最高分计分一次，不重复计分。</w:t>
            </w:r>
          </w:p>
        </w:tc>
      </w:tr>
      <w:tr>
        <w:tc>
          <w:tcPr>
            <w:tcW w:type="dxa" w:w="922"/>
            <w:gridSpan w:val="2"/>
            <w:vMerge/>
          </w:tcPr>
          <w:p/>
        </w:tc>
        <w:tc>
          <w:tcPr>
            <w:tcW w:type="dxa" w:w="2307"/>
          </w:tcPr>
          <w:p>
            <w:pPr>
              <w:pStyle w:val="null3"/>
              <w:jc w:val="left"/>
            </w:pPr>
            <w:r>
              <w:rPr/>
              <w:t>服务满意度 (3.0分)</w:t>
            </w:r>
          </w:p>
        </w:tc>
        <w:tc>
          <w:tcPr>
            <w:tcW w:type="dxa" w:w="5076"/>
          </w:tcPr>
          <w:p>
            <w:pPr>
              <w:pStyle w:val="null3"/>
              <w:jc w:val="left"/>
            </w:pPr>
            <w:r>
              <w:rPr/>
              <w:t>交通规划类项目，投标人每获得项目业主/甲方考核评价为正面评价（优秀、满意或相当于类似评价）的，得1分，最高3分。 注：此项最高得3分。以投标人提供的考核评价材料复印件为评分依据。</w:t>
            </w:r>
          </w:p>
        </w:tc>
      </w:tr>
      <w:tr>
        <w:tc>
          <w:tcPr>
            <w:tcW w:type="dxa" w:w="922"/>
            <w:gridSpan w:val="2"/>
            <w:vMerge/>
          </w:tcPr>
          <w:p/>
        </w:tc>
        <w:tc>
          <w:tcPr>
            <w:tcW w:type="dxa" w:w="2307"/>
          </w:tcPr>
          <w:p>
            <w:pPr>
              <w:pStyle w:val="null3"/>
              <w:jc w:val="left"/>
            </w:pPr>
            <w:r>
              <w:rPr/>
              <w:t>服务响应时间 (2.0分)</w:t>
            </w:r>
            <w:r>
              <w:rPr/>
              <w:t>，（等次分值选择：</w:t>
            </w:r>
            <w:r>
              <w:rPr/>
              <w:t>0.0;</w:t>
            </w:r>
            <w:r>
              <w:rPr/>
              <w:t>0.5;</w:t>
            </w:r>
            <w:r>
              <w:rPr/>
              <w:t>1.0;</w:t>
            </w:r>
            <w:r>
              <w:rPr/>
              <w:t>2.0;</w:t>
            </w:r>
            <w:r>
              <w:rPr/>
              <w:t>）</w:t>
            </w:r>
          </w:p>
        </w:tc>
        <w:tc>
          <w:tcPr>
            <w:tcW w:type="dxa" w:w="5076"/>
          </w:tcPr>
          <w:p>
            <w:pPr>
              <w:pStyle w:val="null3"/>
              <w:jc w:val="left"/>
            </w:pPr>
            <w:r>
              <w:rPr/>
              <w:t>(1)收到采购人通知（电话或书面）后30分钟内响应，得2分； (2)收到采购人通知（电话或书面）后超过30分钟但1小时内响应，得1分； (3)收到采购人通知（电话或书面）后超过1小时响应，得0.5分。 备注：需提供加盖投标人公章的服务承诺函（承诺函格式自拟），不提供不得分。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ind w:firstLine="480"/>
        <w:jc w:val="center"/>
      </w:pPr>
      <w:r>
        <w:rPr>
          <w:b/>
          <w:sz w:val="36"/>
        </w:rPr>
        <w:t>合同文本</w:t>
      </w:r>
    </w:p>
    <w:p>
      <w:pPr>
        <w:pStyle w:val="null3"/>
        <w:ind w:firstLine="480"/>
        <w:jc w:val="both"/>
      </w:pPr>
      <w:r>
        <w:rPr>
          <w:sz w:val="28"/>
        </w:rPr>
        <w:t>合同编号：</w:t>
      </w:r>
    </w:p>
    <w:p>
      <w:pPr>
        <w:pStyle w:val="null3"/>
        <w:ind w:firstLine="480"/>
        <w:jc w:val="both"/>
      </w:pPr>
    </w:p>
    <w:p>
      <w:pPr>
        <w:pStyle w:val="null3"/>
        <w:ind w:firstLine="480"/>
        <w:jc w:val="center"/>
      </w:pPr>
    </w:p>
    <w:p>
      <w:pPr>
        <w:pStyle w:val="null3"/>
        <w:ind w:firstLine="480"/>
        <w:jc w:val="center"/>
      </w:pPr>
      <w:r>
        <w:rPr>
          <w:b/>
          <w:sz w:val="48"/>
        </w:rPr>
        <w:t>技术服务合同</w:t>
      </w:r>
    </w:p>
    <w:p>
      <w:pPr>
        <w:pStyle w:val="null3"/>
        <w:ind w:firstLine="480"/>
        <w:jc w:val="center"/>
      </w:pPr>
    </w:p>
    <w:p>
      <w:pPr>
        <w:pStyle w:val="null3"/>
        <w:ind w:firstLine="480"/>
        <w:jc w:val="center"/>
      </w:pPr>
    </w:p>
    <w:p>
      <w:pPr>
        <w:pStyle w:val="null3"/>
        <w:ind w:left="2280" w:right="-30"/>
        <w:jc w:val="left"/>
      </w:pPr>
      <w:r>
        <w:rPr>
          <w:b/>
          <w:sz w:val="24"/>
        </w:rPr>
        <w:t>项目名称：</w:t>
      </w:r>
      <w:r>
        <w:rPr>
          <w:b/>
          <w:sz w:val="21"/>
          <w:u w:val="single"/>
        </w:rPr>
        <w:t xml:space="preserve">          </w:t>
      </w:r>
      <w:r>
        <w:rPr>
          <w:sz w:val="24"/>
          <w:u w:val="single"/>
        </w:rPr>
        <w:t>海珠区面向实施的近中期交通提升规划</w:t>
      </w:r>
      <w:r>
        <w:rPr>
          <w:sz w:val="21"/>
          <w:u w:val="single"/>
        </w:rPr>
        <w:t xml:space="preserve">         </w:t>
      </w:r>
    </w:p>
    <w:p>
      <w:pPr>
        <w:pStyle w:val="null3"/>
        <w:ind w:left="2280" w:right="-30"/>
        <w:jc w:val="left"/>
      </w:pPr>
      <w:r>
        <w:rPr>
          <w:b/>
          <w:sz w:val="24"/>
        </w:rPr>
        <w:t>委托方（甲方）：</w:t>
      </w:r>
      <w:r>
        <w:rPr>
          <w:sz w:val="24"/>
          <w:u w:val="single"/>
        </w:rPr>
        <w:t xml:space="preserve">        </w:t>
      </w:r>
      <w:r>
        <w:rPr>
          <w:sz w:val="24"/>
          <w:u w:val="single"/>
        </w:rPr>
        <w:t>广州市海珠区规划编制研究中心</w:t>
      </w:r>
      <w:r>
        <w:rPr>
          <w:sz w:val="24"/>
          <w:u w:val="single"/>
        </w:rPr>
        <w:t xml:space="preserve">           </w:t>
      </w:r>
    </w:p>
    <w:p>
      <w:pPr>
        <w:pStyle w:val="null3"/>
        <w:ind w:left="2280" w:right="-30"/>
        <w:jc w:val="left"/>
      </w:pPr>
      <w:r>
        <w:rPr>
          <w:b/>
          <w:sz w:val="24"/>
        </w:rPr>
        <w:t>受托</w:t>
      </w:r>
      <w:r>
        <w:rPr>
          <w:b/>
          <w:sz w:val="24"/>
        </w:rPr>
        <w:t>方（乙方）：</w:t>
      </w:r>
      <w:r>
        <w:rPr>
          <w:b/>
          <w:sz w:val="21"/>
          <w:u w:val="single"/>
        </w:rPr>
        <w:t xml:space="preserve">                                                </w:t>
      </w:r>
    </w:p>
    <w:p>
      <w:pPr>
        <w:pStyle w:val="null3"/>
        <w:ind w:left="2280" w:right="-30"/>
        <w:jc w:val="left"/>
      </w:pPr>
      <w:r>
        <w:rPr>
          <w:b/>
          <w:sz w:val="24"/>
        </w:rPr>
        <w:t>签订日期：</w:t>
      </w:r>
      <w:r>
        <w:rPr>
          <w:b/>
          <w:sz w:val="21"/>
          <w:u w:val="single"/>
        </w:rPr>
        <w:t xml:space="preserve">                 </w:t>
      </w:r>
      <w:r>
        <w:rPr>
          <w:sz w:val="24"/>
          <w:u w:val="single"/>
        </w:rPr>
        <w:t xml:space="preserve">   </w:t>
      </w:r>
      <w:r>
        <w:rPr>
          <w:sz w:val="24"/>
          <w:u w:val="single"/>
        </w:rPr>
        <w:t>年</w:t>
      </w:r>
      <w:r>
        <w:rPr>
          <w:sz w:val="24"/>
          <w:u w:val="single"/>
        </w:rPr>
        <w:t xml:space="preserve">     </w:t>
      </w:r>
      <w:r>
        <w:rPr>
          <w:sz w:val="24"/>
          <w:u w:val="single"/>
        </w:rPr>
        <w:t>月</w:t>
      </w:r>
      <w:r>
        <w:rPr>
          <w:sz w:val="24"/>
          <w:u w:val="single"/>
        </w:rPr>
        <w:t xml:space="preserve">                   </w:t>
      </w:r>
    </w:p>
    <w:p>
      <w:pPr>
        <w:pStyle w:val="null3"/>
        <w:ind w:left="2280" w:right="-30"/>
        <w:jc w:val="left"/>
      </w:pPr>
      <w:r>
        <w:rPr>
          <w:b/>
          <w:sz w:val="24"/>
        </w:rPr>
        <w:t>签订地</w:t>
      </w:r>
      <w:r>
        <w:rPr>
          <w:b/>
          <w:sz w:val="24"/>
        </w:rPr>
        <w:t>点：</w:t>
      </w:r>
      <w:r>
        <w:rPr>
          <w:sz w:val="24"/>
          <w:u w:val="single"/>
        </w:rPr>
        <w:t xml:space="preserve">                      </w:t>
      </w:r>
      <w:r>
        <w:rPr>
          <w:sz w:val="24"/>
          <w:u w:val="single"/>
        </w:rPr>
        <w:t>中国</w:t>
      </w:r>
      <w:r>
        <w:rPr>
          <w:sz w:val="24"/>
          <w:u w:val="single"/>
        </w:rPr>
        <w:t xml:space="preserve">  </w:t>
      </w:r>
      <w:r>
        <w:rPr>
          <w:sz w:val="24"/>
          <w:u w:val="single"/>
        </w:rPr>
        <w:t>广州市</w:t>
      </w:r>
      <w:r>
        <w:rPr>
          <w:sz w:val="24"/>
          <w:u w:val="single"/>
        </w:rPr>
        <w:t xml:space="preserve">                 </w:t>
      </w:r>
    </w:p>
    <w:p>
      <w:pPr>
        <w:pStyle w:val="null3"/>
        <w:ind w:firstLine="964"/>
        <w:jc w:val="left"/>
      </w:pPr>
      <w:r>
        <w:rPr>
          <w:b/>
          <w:sz w:val="24"/>
        </w:rPr>
        <w:t xml:space="preserve"> </w:t>
      </w:r>
      <w:r>
        <w:rPr>
          <w:b/>
          <w:sz w:val="24"/>
        </w:rPr>
        <w:t>有效期限：</w:t>
      </w:r>
      <w:r>
        <w:rPr>
          <w:sz w:val="24"/>
          <w:u w:val="single"/>
        </w:rPr>
        <w:t>自合同签订之日起至合同所约定的全部义务履行完毕之日止</w:t>
      </w: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center"/>
      </w:pPr>
    </w:p>
    <w:p>
      <w:pPr>
        <w:pStyle w:val="null3"/>
        <w:ind w:firstLine="480"/>
        <w:jc w:val="center"/>
      </w:pPr>
    </w:p>
    <w:p>
      <w:pPr>
        <w:pStyle w:val="null3"/>
        <w:ind w:firstLine="480"/>
        <w:jc w:val="center"/>
      </w:pPr>
      <w:r>
        <w:rPr>
          <w:sz w:val="24"/>
        </w:rPr>
        <w:t>中华人民共和国科学技术部印制</w:t>
      </w:r>
    </w:p>
    <w:p>
      <w:pPr>
        <w:pStyle w:val="null3"/>
        <w:ind w:firstLine="480"/>
        <w:jc w:val="center"/>
      </w:pPr>
    </w:p>
    <w:p>
      <w:pPr>
        <w:pStyle w:val="null3"/>
        <w:ind w:firstLine="480"/>
        <w:jc w:val="both"/>
      </w:pPr>
    </w:p>
    <w:p>
      <w:pPr>
        <w:pStyle w:val="null3"/>
        <w:ind w:firstLine="480"/>
        <w:jc w:val="both"/>
      </w:pPr>
    </w:p>
    <w:p>
      <w:pPr>
        <w:pStyle w:val="null3"/>
        <w:ind w:firstLine="482"/>
        <w:jc w:val="both"/>
      </w:pPr>
    </w:p>
    <w:p>
      <w:pPr>
        <w:pStyle w:val="null3"/>
      </w:pPr>
    </w:p>
    <w:p>
      <w:pPr>
        <w:pStyle w:val="null3"/>
      </w:pPr>
      <w:r>
        <w:rPr/>
        <w:t xml:space="preserve"> </w:t>
      </w:r>
    </w:p>
    <w:p>
      <w:pPr>
        <w:pStyle w:val="null3"/>
        <w:ind w:firstLine="482"/>
        <w:jc w:val="both"/>
      </w:pPr>
    </w:p>
    <w:p>
      <w:pPr>
        <w:pStyle w:val="null3"/>
        <w:ind w:firstLine="482"/>
        <w:jc w:val="both"/>
      </w:pPr>
    </w:p>
    <w:p>
      <w:pPr>
        <w:pStyle w:val="null3"/>
        <w:ind w:firstLine="482"/>
        <w:jc w:val="both"/>
      </w:pPr>
    </w:p>
    <w:p>
      <w:pPr>
        <w:pStyle w:val="null3"/>
        <w:ind w:firstLine="482"/>
        <w:jc w:val="both"/>
      </w:pPr>
      <w:r>
        <w:rPr>
          <w:b/>
          <w:sz w:val="24"/>
        </w:rPr>
        <w:t>工</w:t>
      </w:r>
      <w:r>
        <w:rPr>
          <w:b/>
          <w:sz w:val="24"/>
        </w:rPr>
        <w:t>程</w:t>
      </w:r>
      <w:r>
        <w:rPr>
          <w:b/>
          <w:sz w:val="24"/>
        </w:rPr>
        <w:t xml:space="preserve"> </w:t>
      </w:r>
      <w:r>
        <w:rPr>
          <w:b/>
          <w:sz w:val="24"/>
        </w:rPr>
        <w:t>名</w:t>
      </w:r>
      <w:r>
        <w:rPr>
          <w:b/>
          <w:sz w:val="24"/>
        </w:rPr>
        <w:t>称：</w:t>
      </w:r>
      <w:r>
        <w:rPr>
          <w:b/>
          <w:sz w:val="24"/>
          <w:u w:val="single"/>
        </w:rPr>
        <w:t xml:space="preserve">     </w:t>
      </w:r>
      <w:r>
        <w:rPr>
          <w:b/>
          <w:sz w:val="24"/>
          <w:u w:val="single"/>
        </w:rPr>
        <w:t>海珠区面向实施的近中期交通提升规划</w:t>
      </w:r>
      <w:r>
        <w:rPr>
          <w:b/>
          <w:sz w:val="24"/>
          <w:u w:val="single"/>
        </w:rPr>
        <w:t xml:space="preserve">    </w:t>
      </w:r>
    </w:p>
    <w:p>
      <w:pPr>
        <w:pStyle w:val="null3"/>
        <w:ind w:firstLine="482"/>
        <w:jc w:val="both"/>
      </w:pPr>
      <w:r>
        <w:rPr>
          <w:b/>
          <w:sz w:val="24"/>
        </w:rPr>
        <w:t>工</w:t>
      </w:r>
      <w:r>
        <w:rPr>
          <w:b/>
          <w:sz w:val="24"/>
        </w:rPr>
        <w:t>程</w:t>
      </w:r>
      <w:r>
        <w:rPr>
          <w:b/>
          <w:sz w:val="24"/>
        </w:rPr>
        <w:t xml:space="preserve"> </w:t>
      </w:r>
      <w:r>
        <w:rPr>
          <w:b/>
          <w:sz w:val="24"/>
        </w:rPr>
        <w:t>地</w:t>
      </w:r>
      <w:r>
        <w:rPr>
          <w:b/>
          <w:sz w:val="24"/>
        </w:rPr>
        <w:t>点：</w:t>
      </w:r>
      <w:r>
        <w:rPr>
          <w:b/>
          <w:sz w:val="24"/>
          <w:u w:val="single"/>
        </w:rPr>
        <w:t xml:space="preserve">            </w:t>
      </w:r>
      <w:r>
        <w:rPr>
          <w:b/>
          <w:sz w:val="24"/>
          <w:u w:val="single"/>
        </w:rPr>
        <w:t>广东省广州市海珠区</w:t>
      </w:r>
      <w:r>
        <w:rPr>
          <w:b/>
          <w:sz w:val="24"/>
          <w:u w:val="single"/>
        </w:rPr>
        <w:t xml:space="preserve">             </w:t>
      </w:r>
    </w:p>
    <w:p>
      <w:pPr>
        <w:pStyle w:val="null3"/>
        <w:ind w:firstLine="482"/>
        <w:jc w:val="both"/>
      </w:pPr>
      <w:r>
        <w:rPr>
          <w:b/>
          <w:sz w:val="24"/>
        </w:rPr>
        <w:t>设计证书等级：</w:t>
      </w:r>
      <w:r>
        <w:rPr>
          <w:b/>
          <w:sz w:val="21"/>
          <w:u w:val="single"/>
        </w:rPr>
        <w:t xml:space="preserve">                                            </w:t>
      </w:r>
    </w:p>
    <w:p>
      <w:pPr>
        <w:pStyle w:val="null3"/>
        <w:ind w:firstLine="482"/>
        <w:jc w:val="both"/>
      </w:pPr>
      <w:r>
        <w:rPr>
          <w:b/>
          <w:sz w:val="24"/>
        </w:rPr>
        <w:t>设计证书号：</w:t>
      </w:r>
      <w:r>
        <w:rPr>
          <w:b/>
          <w:sz w:val="21"/>
          <w:u w:val="single"/>
        </w:rPr>
        <w:t xml:space="preserve">                                              </w:t>
      </w:r>
    </w:p>
    <w:p>
      <w:pPr>
        <w:pStyle w:val="null3"/>
        <w:ind w:firstLine="562"/>
        <w:jc w:val="both"/>
      </w:pPr>
    </w:p>
    <w:p>
      <w:pPr>
        <w:pStyle w:val="null3"/>
        <w:ind w:firstLine="480"/>
        <w:jc w:val="both"/>
      </w:pPr>
    </w:p>
    <w:p>
      <w:pPr>
        <w:pStyle w:val="null3"/>
        <w:ind w:firstLine="480"/>
        <w:jc w:val="center"/>
      </w:pPr>
    </w:p>
    <w:p>
      <w:pPr>
        <w:pStyle w:val="null3"/>
      </w:pPr>
    </w:p>
    <w:p>
      <w:pPr>
        <w:pStyle w:val="null3"/>
        <w:ind w:firstLine="480"/>
        <w:jc w:val="center"/>
      </w:pPr>
      <w:r>
        <w:rPr>
          <w:b/>
          <w:sz w:val="28"/>
        </w:rPr>
        <w:t>填</w:t>
      </w:r>
      <w:r>
        <w:rPr>
          <w:b/>
          <w:sz w:val="28"/>
        </w:rPr>
        <w:t>写</w:t>
      </w:r>
      <w:r>
        <w:rPr>
          <w:b/>
          <w:sz w:val="28"/>
        </w:rPr>
        <w:t>说</w:t>
      </w:r>
      <w:r>
        <w:rPr>
          <w:b/>
          <w:sz w:val="28"/>
        </w:rPr>
        <w:t>明</w:t>
      </w:r>
    </w:p>
    <w:p>
      <w:pPr>
        <w:pStyle w:val="null3"/>
      </w:pPr>
      <w:r>
        <w:rPr/>
        <w:t xml:space="preserve"> </w:t>
      </w:r>
    </w:p>
    <w:p>
      <w:pPr>
        <w:pStyle w:val="null3"/>
        <w:ind w:firstLine="600"/>
        <w:jc w:val="left"/>
      </w:pPr>
    </w:p>
    <w:p>
      <w:pPr>
        <w:pStyle w:val="null3"/>
        <w:ind w:firstLine="480"/>
        <w:jc w:val="left"/>
      </w:pPr>
      <w:r>
        <w:rPr>
          <w:sz w:val="24"/>
        </w:rPr>
        <w:t>一、本合同为中华人民共和国科学技术部制定的技术服务合同示范文本，各技术合同登记机构可推介技术合同当事人参照使用。</w:t>
      </w:r>
    </w:p>
    <w:p>
      <w:pPr>
        <w:pStyle w:val="null3"/>
        <w:ind w:firstLine="480"/>
        <w:jc w:val="left"/>
      </w:pPr>
      <w:r>
        <w:rPr>
          <w:sz w:val="24"/>
        </w:rPr>
        <w:t>二、本合同书适用于一方当事人（受托方）以技术知识为另一方（委托方）解决特定技术问题所订立的合同。</w:t>
      </w:r>
    </w:p>
    <w:p>
      <w:pPr>
        <w:pStyle w:val="null3"/>
        <w:ind w:firstLine="480"/>
        <w:jc w:val="left"/>
      </w:pPr>
      <w:r>
        <w:rPr>
          <w:sz w:val="24"/>
        </w:rPr>
        <w:t>三、签约一方为多个当事人的，可按各自在合同关系中的作用等，在</w:t>
      </w:r>
      <w:r>
        <w:rPr>
          <w:sz w:val="24"/>
        </w:rPr>
        <w:t>“委托方”、“受托方”项下（增页）分别排列为共同委托人或共同受托人。</w:t>
      </w:r>
    </w:p>
    <w:p>
      <w:pPr>
        <w:pStyle w:val="null3"/>
        <w:ind w:firstLine="480"/>
        <w:jc w:val="left"/>
      </w:pPr>
      <w:r>
        <w:rPr>
          <w:sz w:val="24"/>
        </w:rPr>
        <w:t>四、本合同书未尽事宜项，可由当事人附页另行约定，并可作为本合同的组成部分。</w:t>
      </w:r>
    </w:p>
    <w:p>
      <w:pPr>
        <w:pStyle w:val="null3"/>
        <w:ind w:firstLine="480"/>
        <w:jc w:val="left"/>
      </w:pPr>
      <w:r>
        <w:rPr>
          <w:sz w:val="24"/>
        </w:rPr>
        <w:t>五、当事人使用本合同书时约定无需填写的条款，应在该条款处注明</w:t>
      </w:r>
      <w:r>
        <w:rPr>
          <w:sz w:val="24"/>
        </w:rPr>
        <w:t>“无”等字样。</w:t>
      </w:r>
    </w:p>
    <w:p>
      <w:pPr>
        <w:pStyle w:val="null3"/>
        <w:ind w:firstLine="480"/>
        <w:jc w:val="left"/>
      </w:pPr>
    </w:p>
    <w:p>
      <w:pPr>
        <w:pStyle w:val="null3"/>
        <w:ind w:firstLine="480"/>
        <w:jc w:val="left"/>
      </w:pPr>
    </w:p>
    <w:p>
      <w:pPr>
        <w:pStyle w:val="null3"/>
      </w:pPr>
    </w:p>
    <w:p>
      <w:pPr>
        <w:pStyle w:val="null3"/>
      </w:pPr>
    </w:p>
    <w:p>
      <w:pPr>
        <w:pStyle w:val="null3"/>
        <w:ind w:firstLine="480"/>
        <w:jc w:val="center"/>
      </w:pPr>
      <w:r>
        <w:rPr>
          <w:b/>
          <w:sz w:val="28"/>
        </w:rPr>
        <w:t>海珠区面向实施的近中期交通提升规划</w:t>
      </w:r>
    </w:p>
    <w:p>
      <w:pPr>
        <w:pStyle w:val="null3"/>
      </w:pPr>
      <w:r>
        <w:rPr/>
        <w:t xml:space="preserve"> </w:t>
      </w:r>
    </w:p>
    <w:p>
      <w:pPr>
        <w:pStyle w:val="null3"/>
      </w:pPr>
    </w:p>
    <w:p>
      <w:pPr>
        <w:pStyle w:val="null3"/>
        <w:ind w:firstLine="480"/>
        <w:jc w:val="center"/>
      </w:pPr>
    </w:p>
    <w:p>
      <w:pPr>
        <w:pStyle w:val="null3"/>
        <w:ind w:right="705" w:firstLine="424"/>
        <w:jc w:val="both"/>
      </w:pPr>
      <w:r>
        <w:rPr>
          <w:sz w:val="24"/>
        </w:rPr>
        <w:t>委托方（甲方）：</w:t>
      </w:r>
      <w:r>
        <w:rPr>
          <w:sz w:val="21"/>
          <w:u w:val="single"/>
        </w:rPr>
        <w:t xml:space="preserve">                                                   </w:t>
      </w:r>
    </w:p>
    <w:p>
      <w:pPr>
        <w:pStyle w:val="null3"/>
        <w:ind w:right="705" w:firstLine="424"/>
        <w:jc w:val="both"/>
      </w:pPr>
      <w:r>
        <w:rPr>
          <w:sz w:val="24"/>
        </w:rPr>
        <w:t>住</w:t>
      </w:r>
      <w:r>
        <w:rPr>
          <w:sz w:val="24"/>
        </w:rPr>
        <w:t xml:space="preserve"> </w:t>
      </w:r>
      <w:r>
        <w:rPr>
          <w:sz w:val="24"/>
        </w:rPr>
        <w:t>所</w:t>
      </w:r>
      <w:r>
        <w:rPr>
          <w:sz w:val="24"/>
        </w:rPr>
        <w:t xml:space="preserve"> </w:t>
      </w:r>
      <w:r>
        <w:rPr>
          <w:sz w:val="24"/>
        </w:rPr>
        <w:t>地：</w:t>
      </w:r>
      <w:r>
        <w:rPr>
          <w:sz w:val="21"/>
          <w:u w:val="single"/>
        </w:rPr>
        <w:t xml:space="preserve">                                                      </w:t>
      </w:r>
    </w:p>
    <w:p>
      <w:pPr>
        <w:pStyle w:val="null3"/>
        <w:ind w:right="705" w:firstLine="424"/>
        <w:jc w:val="both"/>
      </w:pPr>
      <w:r>
        <w:rPr>
          <w:sz w:val="24"/>
        </w:rPr>
        <w:t>法定代表人：</w:t>
      </w:r>
      <w:r>
        <w:rPr>
          <w:sz w:val="21"/>
          <w:u w:val="single"/>
        </w:rPr>
        <w:t xml:space="preserve">                                                      </w:t>
      </w:r>
    </w:p>
    <w:p>
      <w:pPr>
        <w:pStyle w:val="null3"/>
        <w:ind w:right="705" w:firstLine="424"/>
        <w:jc w:val="both"/>
      </w:pPr>
      <w:r>
        <w:rPr>
          <w:sz w:val="24"/>
        </w:rPr>
        <w:t>项目联系人：</w:t>
      </w:r>
      <w:r>
        <w:rPr>
          <w:sz w:val="21"/>
          <w:u w:val="single"/>
        </w:rPr>
        <w:t xml:space="preserve">                                                      </w:t>
      </w:r>
    </w:p>
    <w:p>
      <w:pPr>
        <w:pStyle w:val="null3"/>
        <w:ind w:right="705" w:firstLine="424"/>
        <w:jc w:val="both"/>
      </w:pPr>
      <w:r>
        <w:rPr>
          <w:sz w:val="24"/>
        </w:rPr>
        <w:t>通讯地址：</w:t>
      </w:r>
      <w:r>
        <w:rPr>
          <w:sz w:val="21"/>
          <w:u w:val="single"/>
        </w:rPr>
        <w:t xml:space="preserve">                                                        </w:t>
      </w:r>
    </w:p>
    <w:p>
      <w:pPr>
        <w:pStyle w:val="null3"/>
        <w:ind w:right="705" w:firstLine="424"/>
        <w:jc w:val="both"/>
      </w:pPr>
      <w:r>
        <w:rPr>
          <w:sz w:val="24"/>
        </w:rPr>
        <w:t>电</w:t>
      </w:r>
      <w:r>
        <w:rPr>
          <w:sz w:val="24"/>
        </w:rPr>
        <w:t xml:space="preserve">   </w:t>
      </w:r>
      <w:r>
        <w:rPr>
          <w:sz w:val="24"/>
        </w:rPr>
        <w:t>话：</w:t>
      </w:r>
      <w:r>
        <w:rPr>
          <w:sz w:val="21"/>
          <w:u w:val="single"/>
        </w:rPr>
        <w:t xml:space="preserve">                      </w:t>
      </w:r>
      <w:r>
        <w:rPr>
          <w:sz w:val="24"/>
        </w:rPr>
        <w:t xml:space="preserve">  </w:t>
      </w:r>
      <w:r>
        <w:rPr>
          <w:sz w:val="24"/>
        </w:rPr>
        <w:t>传</w:t>
      </w:r>
      <w:r>
        <w:rPr>
          <w:sz w:val="24"/>
        </w:rPr>
        <w:t xml:space="preserve">   </w:t>
      </w:r>
      <w:r>
        <w:rPr>
          <w:sz w:val="24"/>
        </w:rPr>
        <w:t>真：</w:t>
      </w:r>
      <w:r>
        <w:rPr>
          <w:sz w:val="21"/>
          <w:u w:val="single"/>
        </w:rPr>
        <w:t xml:space="preserve">                      </w:t>
      </w:r>
    </w:p>
    <w:p>
      <w:pPr>
        <w:pStyle w:val="null3"/>
        <w:ind w:right="705" w:firstLine="424"/>
        <w:jc w:val="both"/>
      </w:pPr>
      <w:r>
        <w:rPr>
          <w:sz w:val="24"/>
        </w:rPr>
        <w:t>电子信箱：</w:t>
      </w:r>
      <w:r>
        <w:rPr>
          <w:sz w:val="21"/>
          <w:u w:val="single"/>
        </w:rPr>
        <w:t xml:space="preserve">                                                        </w:t>
      </w:r>
    </w:p>
    <w:p>
      <w:pPr>
        <w:pStyle w:val="null3"/>
        <w:ind w:right="705" w:firstLine="424"/>
        <w:jc w:val="both"/>
      </w:pPr>
    </w:p>
    <w:p>
      <w:pPr>
        <w:pStyle w:val="null3"/>
        <w:ind w:right="705" w:firstLine="424"/>
        <w:jc w:val="both"/>
      </w:pPr>
    </w:p>
    <w:p>
      <w:pPr>
        <w:pStyle w:val="null3"/>
        <w:ind w:firstLine="424"/>
        <w:jc w:val="both"/>
      </w:pPr>
      <w:r>
        <w:rPr>
          <w:sz w:val="24"/>
        </w:rPr>
        <w:t>受托方（乙方）：</w:t>
      </w:r>
      <w:r>
        <w:rPr>
          <w:sz w:val="21"/>
          <w:u w:val="single"/>
        </w:rPr>
        <w:t xml:space="preserve">                                                   </w:t>
      </w:r>
    </w:p>
    <w:p>
      <w:pPr>
        <w:pStyle w:val="null3"/>
        <w:ind w:firstLine="422"/>
        <w:jc w:val="both"/>
      </w:pPr>
      <w:r>
        <w:rPr>
          <w:sz w:val="24"/>
        </w:rPr>
        <w:t>住</w:t>
      </w:r>
      <w:r>
        <w:rPr>
          <w:sz w:val="24"/>
        </w:rPr>
        <w:t xml:space="preserve"> </w:t>
      </w:r>
      <w:r>
        <w:rPr>
          <w:sz w:val="24"/>
        </w:rPr>
        <w:t>所</w:t>
      </w:r>
      <w:r>
        <w:rPr>
          <w:sz w:val="24"/>
        </w:rPr>
        <w:t xml:space="preserve"> </w:t>
      </w:r>
      <w:r>
        <w:rPr>
          <w:sz w:val="24"/>
        </w:rPr>
        <w:t>地：</w:t>
      </w:r>
      <w:r>
        <w:rPr>
          <w:sz w:val="21"/>
          <w:u w:val="single"/>
        </w:rPr>
        <w:t xml:space="preserve">                                                     </w:t>
      </w:r>
    </w:p>
    <w:p>
      <w:pPr>
        <w:pStyle w:val="null3"/>
        <w:ind w:firstLine="424"/>
        <w:jc w:val="both"/>
      </w:pPr>
      <w:r>
        <w:rPr>
          <w:sz w:val="24"/>
        </w:rPr>
        <w:t>法定代表人：</w:t>
      </w:r>
      <w:r>
        <w:rPr>
          <w:sz w:val="21"/>
          <w:u w:val="single"/>
        </w:rPr>
        <w:t xml:space="preserve">                                                      </w:t>
      </w:r>
    </w:p>
    <w:p>
      <w:pPr>
        <w:pStyle w:val="null3"/>
        <w:ind w:firstLine="424"/>
        <w:jc w:val="both"/>
      </w:pPr>
      <w:r>
        <w:rPr>
          <w:sz w:val="24"/>
        </w:rPr>
        <w:t>项目联系人：</w:t>
      </w:r>
      <w:r>
        <w:rPr>
          <w:sz w:val="21"/>
          <w:u w:val="single"/>
        </w:rPr>
        <w:t xml:space="preserve">                                                      </w:t>
      </w:r>
    </w:p>
    <w:p>
      <w:pPr>
        <w:pStyle w:val="null3"/>
        <w:ind w:firstLine="422"/>
        <w:jc w:val="both"/>
      </w:pPr>
      <w:r>
        <w:rPr>
          <w:sz w:val="24"/>
        </w:rPr>
        <w:t>通讯地址：</w:t>
      </w:r>
      <w:r>
        <w:rPr>
          <w:sz w:val="21"/>
          <w:u w:val="single"/>
        </w:rPr>
        <w:t xml:space="preserve">                                                        </w:t>
      </w:r>
    </w:p>
    <w:p>
      <w:pPr>
        <w:pStyle w:val="null3"/>
        <w:ind w:firstLine="424"/>
        <w:jc w:val="both"/>
      </w:pPr>
      <w:r>
        <w:rPr>
          <w:sz w:val="24"/>
        </w:rPr>
        <w:t>电</w:t>
      </w:r>
      <w:r>
        <w:rPr>
          <w:sz w:val="24"/>
        </w:rPr>
        <w:t xml:space="preserve">   </w:t>
      </w:r>
      <w:r>
        <w:rPr>
          <w:sz w:val="24"/>
        </w:rPr>
        <w:t>话：</w:t>
      </w:r>
      <w:r>
        <w:rPr>
          <w:sz w:val="21"/>
          <w:u w:val="single"/>
        </w:rPr>
        <w:t xml:space="preserve">                      </w:t>
      </w:r>
      <w:r>
        <w:rPr>
          <w:sz w:val="24"/>
        </w:rPr>
        <w:t xml:space="preserve">  </w:t>
      </w:r>
      <w:r>
        <w:rPr>
          <w:sz w:val="24"/>
        </w:rPr>
        <w:t>传</w:t>
      </w:r>
      <w:r>
        <w:rPr>
          <w:sz w:val="24"/>
        </w:rPr>
        <w:t xml:space="preserve">   </w:t>
      </w:r>
      <w:r>
        <w:rPr>
          <w:sz w:val="24"/>
        </w:rPr>
        <w:t>真：</w:t>
      </w:r>
      <w:r>
        <w:rPr>
          <w:sz w:val="21"/>
          <w:u w:val="single"/>
        </w:rPr>
        <w:t xml:space="preserve">                      </w:t>
      </w:r>
    </w:p>
    <w:p>
      <w:pPr>
        <w:pStyle w:val="null3"/>
        <w:ind w:firstLine="424"/>
        <w:jc w:val="both"/>
      </w:pPr>
      <w:r>
        <w:rPr>
          <w:sz w:val="24"/>
        </w:rPr>
        <w:t>电子信箱：</w:t>
      </w:r>
      <w:r>
        <w:rPr>
          <w:sz w:val="21"/>
          <w:u w:val="single"/>
        </w:rPr>
        <w:t xml:space="preserve">                                                        </w:t>
      </w:r>
    </w:p>
    <w:p>
      <w:pPr>
        <w:pStyle w:val="null3"/>
        <w:ind w:left="-270" w:firstLine="480"/>
        <w:jc w:val="both"/>
      </w:pPr>
    </w:p>
    <w:p>
      <w:pPr>
        <w:pStyle w:val="null3"/>
        <w:ind w:left="-270" w:firstLine="480"/>
        <w:jc w:val="both"/>
      </w:pPr>
    </w:p>
    <w:p>
      <w:pPr>
        <w:pStyle w:val="null3"/>
        <w:ind w:left="-270" w:firstLine="480"/>
        <w:jc w:val="both"/>
      </w:pPr>
    </w:p>
    <w:p>
      <w:pPr>
        <w:pStyle w:val="null3"/>
        <w:ind w:left="-270" w:firstLine="480"/>
        <w:jc w:val="both"/>
      </w:pPr>
    </w:p>
    <w:p>
      <w:pPr>
        <w:pStyle w:val="null3"/>
        <w:ind w:left="-270" w:firstLine="480"/>
        <w:jc w:val="both"/>
      </w:pPr>
    </w:p>
    <w:p>
      <w:pPr>
        <w:pStyle w:val="null3"/>
        <w:ind w:left="-270" w:firstLine="480"/>
        <w:jc w:val="both"/>
      </w:pPr>
    </w:p>
    <w:p>
      <w:pPr>
        <w:pStyle w:val="null3"/>
        <w:ind w:left="-270" w:firstLine="480"/>
        <w:jc w:val="both"/>
      </w:pPr>
    </w:p>
    <w:p>
      <w:pPr>
        <w:pStyle w:val="null3"/>
        <w:ind w:left="-270" w:firstLine="480"/>
        <w:jc w:val="both"/>
      </w:pPr>
    </w:p>
    <w:p>
      <w:pPr>
        <w:pStyle w:val="null3"/>
        <w:ind w:firstLine="480"/>
        <w:jc w:val="both"/>
      </w:pPr>
    </w:p>
    <w:p>
      <w:pPr>
        <w:pStyle w:val="null3"/>
      </w:pPr>
      <w:r>
        <w:rPr>
          <w:sz w:val="24"/>
        </w:rPr>
        <w:t>本合同甲方委托乙方就</w:t>
      </w:r>
      <w:r>
        <w:rPr>
          <w:sz w:val="24"/>
          <w:u w:val="single"/>
        </w:rPr>
        <w:t>《海珠区面向实施的近中期交通提升规划》项目</w:t>
      </w:r>
      <w:r>
        <w:rPr>
          <w:sz w:val="24"/>
        </w:rPr>
        <w:t>进行的专项技术服务，并支付相应的技术服务报酬。双方经过平等协商，在真实、充分地表达各自意愿的基础上，根据《中华人民共和国</w:t>
      </w:r>
      <w:r>
        <w:rPr>
          <w:color w:val="000000"/>
          <w:sz w:val="24"/>
        </w:rPr>
        <w:t>民法典</w:t>
      </w:r>
      <w:r>
        <w:rPr>
          <w:sz w:val="24"/>
        </w:rPr>
        <w:t>》的规定，达成如下协议，并由双方共同恪守。</w:t>
      </w:r>
    </w:p>
    <w:p>
      <w:pPr>
        <w:pStyle w:val="null3"/>
      </w:pPr>
      <w:r>
        <w:rPr/>
        <w:t xml:space="preserve"> </w:t>
      </w:r>
    </w:p>
    <w:p>
      <w:pPr>
        <w:pStyle w:val="null3"/>
        <w:ind w:firstLine="560"/>
        <w:jc w:val="both"/>
      </w:pPr>
      <w:r>
        <w:rPr>
          <w:b/>
          <w:sz w:val="24"/>
        </w:rPr>
        <w:t>第一条：甲方委托乙方进行技术服务的内容如下：</w:t>
      </w:r>
    </w:p>
    <w:p>
      <w:pPr>
        <w:pStyle w:val="null3"/>
        <w:ind w:right="-15" w:firstLine="482"/>
        <w:jc w:val="left"/>
      </w:pPr>
      <w:r>
        <w:rPr>
          <w:b/>
          <w:sz w:val="24"/>
        </w:rPr>
        <w:t>1. 技术服务的范围：</w:t>
      </w:r>
      <w:r>
        <w:rPr>
          <w:sz w:val="24"/>
        </w:rPr>
        <w:t>本次工作范围为海珠区行政区域（不含生物岛），面积约</w:t>
      </w:r>
      <w:r>
        <w:rPr>
          <w:sz w:val="24"/>
        </w:rPr>
        <w:t>88平方公里。</w:t>
      </w:r>
    </w:p>
    <w:p>
      <w:pPr>
        <w:pStyle w:val="null3"/>
        <w:ind w:firstLine="482"/>
      </w:pPr>
      <w:r>
        <w:rPr>
          <w:b/>
          <w:sz w:val="24"/>
        </w:rPr>
        <w:t>2. 技术服务的目标：</w:t>
      </w:r>
      <w:r>
        <w:rPr>
          <w:sz w:val="24"/>
        </w:rPr>
        <w:t>针对海珠区发展现状瓶颈及面临难题，结合城市发展新要求，构建与海珠区发展功能相适应的交通提升规划方案，进一步夯实</w:t>
      </w:r>
      <w:r>
        <w:rPr>
          <w:sz w:val="24"/>
        </w:rPr>
        <w:t>“对外联通、对内畅通”的海珠综合交通体系，实现品质畅行、宜居海珠的发展目标，促进交通与城市土地利用的协调发展，支持海珠区建设成为“数字生态城”的发展定位，具体目标是：</w:t>
      </w:r>
    </w:p>
    <w:p>
      <w:pPr>
        <w:pStyle w:val="null3"/>
        <w:ind w:firstLine="480"/>
      </w:pPr>
      <w:r>
        <w:rPr>
          <w:sz w:val="24"/>
        </w:rPr>
        <w:t>（</w:t>
      </w:r>
      <w:r>
        <w:rPr>
          <w:sz w:val="24"/>
        </w:rPr>
        <w:t>1）促进土地利用和交通发展协调。结合各示范区土地利用及城市设计的差异化要求和具体用地情况，提出重要干道、重要节点等重要交通设施的控制优化方案，以提高交通设施的可实施性，解决断头路、重要节点实施难的问题。</w:t>
      </w:r>
    </w:p>
    <w:p>
      <w:pPr>
        <w:pStyle w:val="null3"/>
        <w:ind w:firstLine="480"/>
      </w:pPr>
      <w:r>
        <w:rPr>
          <w:sz w:val="24"/>
        </w:rPr>
        <w:t>（</w:t>
      </w:r>
      <w:r>
        <w:rPr>
          <w:sz w:val="24"/>
        </w:rPr>
        <w:t>2）促进城市更新和交通发展协调。理顺城市更新和交通系统的供求、时序关系，对海珠区的城市更新和交通格局进行优化调整，制定合理的城市更新和交通建设项目计划，以把控更新节奏，避免短时大规模的城市更新对交通系统造成冲击。</w:t>
      </w:r>
    </w:p>
    <w:p>
      <w:pPr>
        <w:pStyle w:val="null3"/>
        <w:ind w:firstLine="480"/>
      </w:pPr>
      <w:r>
        <w:rPr>
          <w:sz w:val="24"/>
        </w:rPr>
        <w:t>（</w:t>
      </w:r>
      <w:r>
        <w:rPr>
          <w:sz w:val="24"/>
        </w:rPr>
        <w:t>3）提升非机动车出行环境。以以人为本为基本导向，制定非机动车交通提升方案，改善重点地区非机动车交通环境，各行其道，以减少非机动车交通对人行交通、车行交通的直接冲击，提高整体运行效率。</w:t>
      </w:r>
    </w:p>
    <w:p>
      <w:pPr>
        <w:pStyle w:val="null3"/>
        <w:ind w:firstLine="480"/>
      </w:pPr>
      <w:r>
        <w:rPr>
          <w:sz w:val="24"/>
        </w:rPr>
        <w:t>（</w:t>
      </w:r>
      <w:r>
        <w:rPr>
          <w:sz w:val="24"/>
        </w:rPr>
        <w:t>4）制定合理可行的近期交通建设规划。结合城市建设和城市更新，明确近期交通建设计划，以支持海珠区近期城市发展建设。</w:t>
      </w:r>
    </w:p>
    <w:p>
      <w:pPr>
        <w:pStyle w:val="null3"/>
        <w:ind w:firstLine="482"/>
        <w:jc w:val="both"/>
      </w:pPr>
      <w:r>
        <w:rPr>
          <w:b/>
          <w:sz w:val="24"/>
        </w:rPr>
        <w:t>3.技术服务咨询的内容：</w:t>
      </w:r>
    </w:p>
    <w:p>
      <w:pPr>
        <w:pStyle w:val="null3"/>
        <w:ind w:firstLine="480"/>
        <w:jc w:val="both"/>
      </w:pPr>
      <w:r>
        <w:rPr>
          <w:sz w:val="24"/>
        </w:rPr>
        <w:t>本次规划在分析检讨海珠区的交通设施现状存在问题，系统整合广州市和海珠区国土空间规划、广州市城市更新专项规划、城中村改造专项规划、海珠区综合交通规划等既有规划成果，对接区内重点功能区的土地利用规划和城市设计成果，提出解决目前以及未来规划期内道路、非机动车交通问题的提升规划方案，尤其侧重于城市更新地区、环湿地片区、中大国际创新谷、新城市中轴线、琶洲数字经济示范区等战略性地区，方案深度达到控规深度，并依据海珠区城市建设计划，提出交通设施分期建设计划。主要包括：</w:t>
      </w:r>
    </w:p>
    <w:p>
      <w:pPr>
        <w:pStyle w:val="null3"/>
        <w:ind w:firstLine="480"/>
        <w:jc w:val="both"/>
      </w:pPr>
      <w:r>
        <w:rPr>
          <w:sz w:val="24"/>
        </w:rPr>
        <w:t>（</w:t>
      </w:r>
      <w:r>
        <w:rPr>
          <w:sz w:val="24"/>
        </w:rPr>
        <w:t>1）城市发展与交通现状分析</w:t>
      </w:r>
    </w:p>
    <w:p>
      <w:pPr>
        <w:pStyle w:val="null3"/>
        <w:ind w:firstLine="480"/>
        <w:jc w:val="both"/>
      </w:pPr>
      <w:r>
        <w:rPr>
          <w:sz w:val="24"/>
        </w:rPr>
        <w:t>调查梳理海珠区现状土地利用开发与交通设施现状情况，通过实地调研、数据分析等技术手段分析海珠区的交通特性及交通设施运作情况，分析海珠区道路、非机动车系统等现状情况，评估交通现状存在问题。</w:t>
      </w:r>
    </w:p>
    <w:p>
      <w:pPr>
        <w:pStyle w:val="null3"/>
        <w:ind w:firstLine="480"/>
        <w:jc w:val="both"/>
      </w:pPr>
      <w:r>
        <w:rPr>
          <w:sz w:val="24"/>
        </w:rPr>
        <w:t>（</w:t>
      </w:r>
      <w:r>
        <w:rPr>
          <w:sz w:val="24"/>
        </w:rPr>
        <w:t>2）交通发展趋势分析</w:t>
      </w:r>
    </w:p>
    <w:p>
      <w:pPr>
        <w:pStyle w:val="null3"/>
        <w:ind w:firstLine="480"/>
        <w:jc w:val="both"/>
      </w:pPr>
      <w:r>
        <w:rPr>
          <w:sz w:val="24"/>
        </w:rPr>
        <w:t>通过解读广州市国土空间规划、广州交通发展战略规划、广州市城市更新专项规划、海珠区国土空间规划等上层次规划，对接新城市中轴线等重点功能区的土地利用规划和城市设计方案，结合地区价值的提升和经济与人口发展，分析海珠区的交通特性和未来发展要求，预测交通发展需求，评估分析既有的</w:t>
      </w:r>
      <w:r>
        <w:rPr>
          <w:sz w:val="24"/>
        </w:rPr>
        <w:t>2035年交通规划方案运作情况，为方案的制定提供基础。</w:t>
      </w:r>
    </w:p>
    <w:p>
      <w:pPr>
        <w:pStyle w:val="null3"/>
        <w:ind w:firstLine="480"/>
        <w:jc w:val="both"/>
      </w:pPr>
      <w:r>
        <w:rPr>
          <w:sz w:val="24"/>
        </w:rPr>
        <w:t>（</w:t>
      </w:r>
      <w:r>
        <w:rPr>
          <w:sz w:val="24"/>
        </w:rPr>
        <w:t>3）规划策略</w:t>
      </w:r>
    </w:p>
    <w:p>
      <w:pPr>
        <w:pStyle w:val="null3"/>
        <w:ind w:firstLine="480"/>
        <w:jc w:val="both"/>
      </w:pPr>
      <w:r>
        <w:rPr>
          <w:sz w:val="24"/>
        </w:rPr>
        <w:t>考虑规划前瞻性和适应性，结合海珠区城市发展要求和交通特性，以及各重点功能区的发展侧重点，提出海珠区交通规划目标及策略。</w:t>
      </w:r>
    </w:p>
    <w:p>
      <w:pPr>
        <w:pStyle w:val="null3"/>
        <w:ind w:firstLine="480"/>
        <w:jc w:val="both"/>
      </w:pPr>
      <w:r>
        <w:rPr>
          <w:sz w:val="24"/>
        </w:rPr>
        <w:t>（</w:t>
      </w:r>
      <w:r>
        <w:rPr>
          <w:sz w:val="24"/>
        </w:rPr>
        <w:t>4）面向实施的重要道路、节点控制性优化方案研究</w:t>
      </w:r>
    </w:p>
    <w:p>
      <w:pPr>
        <w:pStyle w:val="null3"/>
        <w:ind w:firstLine="480"/>
        <w:jc w:val="both"/>
      </w:pPr>
      <w:r>
        <w:rPr>
          <w:sz w:val="24"/>
        </w:rPr>
        <w:t>结合既有规划方案的定量评估，对既有规划的重要干道、节点的方案进行检讨，分析实施难点，对接重点功能区的用地方案、城市设计方案和发展要求，结合生态、历史等保护要求，以可实施为前提，对尚未规划实施的重要干道、节点进行分析论证，提出其控制性详细规划优化方案和控制方案，便于对接控规预留实施条件，提升道路系统对重点功能区的支撑水平。在方案研究的过程中，如涉及对骨架路网的调整，将按照有关的管理要求提供相关分析论证。</w:t>
      </w:r>
    </w:p>
    <w:p>
      <w:pPr>
        <w:pStyle w:val="null3"/>
        <w:ind w:firstLine="480"/>
        <w:jc w:val="both"/>
      </w:pPr>
      <w:r>
        <w:rPr>
          <w:sz w:val="24"/>
        </w:rPr>
        <w:t>（</w:t>
      </w:r>
      <w:r>
        <w:rPr>
          <w:sz w:val="24"/>
        </w:rPr>
        <w:t>5）城市更新与交通协调实施方案研究</w:t>
      </w:r>
    </w:p>
    <w:p>
      <w:pPr>
        <w:pStyle w:val="null3"/>
        <w:ind w:firstLine="480"/>
        <w:jc w:val="both"/>
      </w:pPr>
      <w:r>
        <w:rPr>
          <w:sz w:val="24"/>
        </w:rPr>
        <w:t>以城市更新与城市交通的时序协调、供需协调为目标，结合城市更新项目、交通系统建设项目和承载能力情况，对全区的城市更新与交通特征和系统功能的适应性展开研究，理清城市更新与交通系统之间的供求的关系，提出合理的城市更新时序计划和交通系统建设计划，实现各阶段的城市更新的规模与用途与地区交通承载力相匹配。</w:t>
      </w:r>
    </w:p>
    <w:p>
      <w:pPr>
        <w:pStyle w:val="null3"/>
        <w:ind w:firstLine="480"/>
        <w:jc w:val="both"/>
      </w:pPr>
      <w:r>
        <w:rPr>
          <w:sz w:val="24"/>
        </w:rPr>
        <w:t>（</w:t>
      </w:r>
      <w:r>
        <w:rPr>
          <w:sz w:val="24"/>
        </w:rPr>
        <w:t>6）轨道交通提升方案研究</w:t>
      </w:r>
    </w:p>
    <w:p>
      <w:pPr>
        <w:pStyle w:val="null3"/>
        <w:ind w:firstLine="480"/>
        <w:jc w:val="both"/>
      </w:pPr>
      <w:r>
        <w:rPr>
          <w:sz w:val="24"/>
        </w:rPr>
        <w:t>依据各重点功能区的土地利用方案，分析既有轨道交通方案与土地利用方案的耦合情况，结合用地情况、城市更新情况以及轨道实施条件，提出轨道交通的相关提升建议，支撑重点功能区的发展。</w:t>
      </w:r>
    </w:p>
    <w:p>
      <w:pPr>
        <w:pStyle w:val="null3"/>
        <w:ind w:firstLine="480"/>
        <w:jc w:val="both"/>
      </w:pPr>
      <w:r>
        <w:rPr>
          <w:sz w:val="24"/>
        </w:rPr>
        <w:t>（</w:t>
      </w:r>
      <w:r>
        <w:rPr>
          <w:sz w:val="24"/>
        </w:rPr>
        <w:t>7）非机动车交通改善方案研究</w:t>
      </w:r>
    </w:p>
    <w:p>
      <w:pPr>
        <w:pStyle w:val="null3"/>
        <w:ind w:firstLine="480"/>
        <w:jc w:val="both"/>
      </w:pPr>
      <w:r>
        <w:rPr>
          <w:sz w:val="24"/>
        </w:rPr>
        <w:t>针对海珠区现状非机动车的交通问题，分析非机动车交通的承载容量，提出非机动交通提升指引和规划建议，包括非车道提升改造指引、交叉口提升改造指引、非机动车交通管控相关建议等。</w:t>
      </w:r>
    </w:p>
    <w:p>
      <w:pPr>
        <w:pStyle w:val="null3"/>
        <w:ind w:firstLine="480"/>
        <w:jc w:val="both"/>
      </w:pPr>
      <w:r>
        <w:rPr>
          <w:sz w:val="24"/>
        </w:rPr>
        <w:t>（</w:t>
      </w:r>
      <w:r>
        <w:rPr>
          <w:sz w:val="24"/>
        </w:rPr>
        <w:t>8）实施行动计划</w:t>
      </w:r>
    </w:p>
    <w:p>
      <w:pPr>
        <w:pStyle w:val="null3"/>
        <w:ind w:firstLine="480"/>
        <w:jc w:val="both"/>
      </w:pPr>
      <w:r>
        <w:rPr>
          <w:sz w:val="24"/>
        </w:rPr>
        <w:t>结合地区城市发展、用地收储及城市更新等计划，充分考虑新建交通设施与周边的衔接，以及对周边环境的影响，根据轻重缓急提出海珠区的交通建设的分期实施行动计划（如三、五、十年等行动计划）。</w:t>
      </w:r>
    </w:p>
    <w:p>
      <w:pPr>
        <w:pStyle w:val="null3"/>
        <w:ind w:firstLine="482"/>
        <w:jc w:val="both"/>
      </w:pPr>
      <w:r>
        <w:rPr>
          <w:b/>
          <w:color w:val="000000"/>
          <w:sz w:val="24"/>
        </w:rPr>
        <w:t>成果要求：</w:t>
      </w:r>
    </w:p>
    <w:p>
      <w:pPr>
        <w:pStyle w:val="null3"/>
        <w:ind w:firstLine="480"/>
        <w:jc w:val="both"/>
      </w:pPr>
      <w:r>
        <w:rPr>
          <w:sz w:val="24"/>
        </w:rPr>
        <w:t>规划成果应包括文本和相关图纸。成果的表达应当清晰、完整、准确、规范，同类图纸规格应尽量统一，成果文件应当以书面和电子文件两种方式表达。纸质文件包括文本、附图等，报告文本规格</w:t>
      </w:r>
      <w:r>
        <w:rPr>
          <w:sz w:val="21"/>
        </w:rPr>
        <w:t>应</w:t>
      </w:r>
      <w:r>
        <w:rPr>
          <w:sz w:val="24"/>
        </w:rPr>
        <w:t>为</w:t>
      </w:r>
      <w:r>
        <w:rPr>
          <w:sz w:val="24"/>
        </w:rPr>
        <w:t>A4（210mm×297mm）或A3（297mm×420mm）；附图规格</w:t>
      </w:r>
      <w:r>
        <w:rPr>
          <w:sz w:val="21"/>
        </w:rPr>
        <w:t>应</w:t>
      </w:r>
      <w:r>
        <w:rPr>
          <w:sz w:val="24"/>
        </w:rPr>
        <w:t>为</w:t>
      </w:r>
      <w:r>
        <w:rPr>
          <w:sz w:val="24"/>
        </w:rPr>
        <w:t>A4（210mm×297mm）或A3（297mm×420mm），特殊情况可采用更大尺寸规格。电子文件应包括全部研究成果及电子幻灯片（PPT）等文件，文本文件</w:t>
      </w:r>
      <w:r>
        <w:rPr>
          <w:sz w:val="21"/>
        </w:rPr>
        <w:t>应</w:t>
      </w:r>
      <w:r>
        <w:rPr>
          <w:sz w:val="24"/>
        </w:rPr>
        <w:t>采用</w:t>
      </w:r>
      <w:r>
        <w:rPr>
          <w:sz w:val="24"/>
        </w:rPr>
        <w:t>Microsoft Word 2004或以上版本的DOC或DOCX格式文件，图纸文件</w:t>
      </w:r>
      <w:r>
        <w:rPr>
          <w:sz w:val="21"/>
        </w:rPr>
        <w:t>应</w:t>
      </w:r>
      <w:r>
        <w:rPr>
          <w:sz w:val="24"/>
        </w:rPr>
        <w:t>采用</w:t>
      </w:r>
      <w:r>
        <w:rPr>
          <w:sz w:val="24"/>
        </w:rPr>
        <w:t>AutoCAD 2004或以上版本的DWG格式文件，汇报演示文件采用PPT格式。</w:t>
      </w:r>
    </w:p>
    <w:p>
      <w:pPr>
        <w:pStyle w:val="null3"/>
        <w:ind w:firstLine="560"/>
        <w:jc w:val="both"/>
      </w:pPr>
      <w:r>
        <w:rPr>
          <w:b/>
          <w:sz w:val="24"/>
        </w:rPr>
        <w:t>第二条：乙方应按下列要求完成技术服务工作：</w:t>
      </w:r>
    </w:p>
    <w:p>
      <w:pPr>
        <w:pStyle w:val="null3"/>
        <w:ind w:firstLine="480"/>
        <w:jc w:val="both"/>
      </w:pPr>
      <w:r>
        <w:rPr>
          <w:sz w:val="24"/>
        </w:rPr>
        <w:t>1. 技术服务地点：广州市</w:t>
      </w:r>
    </w:p>
    <w:p>
      <w:pPr>
        <w:pStyle w:val="null3"/>
        <w:ind w:firstLine="480"/>
        <w:jc w:val="both"/>
      </w:pPr>
      <w:r>
        <w:rPr>
          <w:sz w:val="24"/>
        </w:rPr>
        <w:t>2. 技术服务期限：自合同签订起</w:t>
      </w:r>
      <w:r>
        <w:rPr>
          <w:sz w:val="24"/>
          <w:u w:val="single"/>
        </w:rPr>
        <w:t xml:space="preserve"> </w:t>
      </w:r>
      <w:r>
        <w:rPr>
          <w:sz w:val="24"/>
          <w:u w:val="single"/>
        </w:rPr>
        <w:t>两</w:t>
      </w:r>
      <w:r>
        <w:rPr>
          <w:sz w:val="24"/>
        </w:rPr>
        <w:t>年</w:t>
      </w:r>
    </w:p>
    <w:p>
      <w:pPr>
        <w:pStyle w:val="null3"/>
        <w:ind w:firstLine="480"/>
        <w:jc w:val="both"/>
      </w:pPr>
      <w:r>
        <w:rPr>
          <w:sz w:val="24"/>
        </w:rPr>
        <w:t>3. 技术服务进度：本项目工作分为三大阶段，详细安排如下：</w:t>
      </w:r>
    </w:p>
    <w:p>
      <w:pPr>
        <w:pStyle w:val="null3"/>
        <w:ind w:firstLine="480"/>
        <w:jc w:val="both"/>
      </w:pPr>
      <w:r>
        <w:rPr>
          <w:sz w:val="24"/>
        </w:rPr>
        <w:t>（</w:t>
      </w:r>
      <w:r>
        <w:rPr>
          <w:sz w:val="24"/>
        </w:rPr>
        <w:t>1）第一阶段（合同签订后4个月）：完成资料收集工作，形成初步成果。</w:t>
      </w:r>
    </w:p>
    <w:p>
      <w:pPr>
        <w:pStyle w:val="null3"/>
        <w:ind w:firstLine="480"/>
        <w:jc w:val="both"/>
      </w:pPr>
      <w:r>
        <w:rPr>
          <w:sz w:val="24"/>
        </w:rPr>
        <w:t>（</w:t>
      </w:r>
      <w:r>
        <w:rPr>
          <w:sz w:val="24"/>
        </w:rPr>
        <w:t>2）第二阶段（合同签订后10个月）：根据意见修改完善，形成中期成果。</w:t>
      </w:r>
    </w:p>
    <w:p>
      <w:pPr>
        <w:pStyle w:val="null3"/>
        <w:ind w:firstLine="480"/>
        <w:jc w:val="both"/>
      </w:pPr>
      <w:r>
        <w:rPr>
          <w:sz w:val="24"/>
        </w:rPr>
        <w:t>（</w:t>
      </w:r>
      <w:r>
        <w:rPr>
          <w:sz w:val="24"/>
        </w:rPr>
        <w:t>3）第三阶段（合同签订后16个月）：根据意见修改完善，形成最终成果。</w:t>
      </w:r>
    </w:p>
    <w:p>
      <w:pPr>
        <w:pStyle w:val="null3"/>
        <w:ind w:firstLine="480"/>
        <w:jc w:val="both"/>
      </w:pPr>
      <w:r>
        <w:rPr>
          <w:sz w:val="24"/>
        </w:rPr>
        <w:t>（</w:t>
      </w:r>
      <w:r>
        <w:rPr>
          <w:sz w:val="24"/>
        </w:rPr>
        <w:t>4）第四阶段（合同签订后24个月）：后续服务期。</w:t>
      </w:r>
    </w:p>
    <w:p>
      <w:pPr>
        <w:pStyle w:val="null3"/>
        <w:ind w:firstLine="480"/>
        <w:jc w:val="both"/>
      </w:pPr>
      <w:r>
        <w:rPr>
          <w:sz w:val="24"/>
        </w:rPr>
        <w:t>5．技术服务质量要求：符合国家有关法律、法规和政策的要求；符合广州市人民政府的政策方针策略；结合广州及国内外先进做法；研究成果具有可实施性。</w:t>
      </w:r>
    </w:p>
    <w:p>
      <w:pPr>
        <w:pStyle w:val="null3"/>
        <w:ind w:firstLine="560"/>
        <w:jc w:val="both"/>
      </w:pPr>
      <w:r>
        <w:rPr>
          <w:b/>
          <w:sz w:val="24"/>
        </w:rPr>
        <w:t>第三条：为保证乙方有效进行技术服务工作，甲方应向乙方提供下列工作条件和协作事项：</w:t>
      </w:r>
    </w:p>
    <w:p>
      <w:pPr>
        <w:pStyle w:val="null3"/>
        <w:ind w:firstLine="480"/>
        <w:jc w:val="left"/>
      </w:pPr>
      <w:r>
        <w:rPr>
          <w:sz w:val="24"/>
        </w:rPr>
        <w:t>1．提供技术资料：</w:t>
      </w:r>
      <w:r>
        <w:rPr>
          <w:sz w:val="24"/>
          <w:u w:val="single"/>
        </w:rPr>
        <w:t>与本项目相关的文件资料，具体与乙方协商确定。</w:t>
      </w:r>
      <w:r>
        <w:rPr>
          <w:sz w:val="24"/>
          <w:u w:val="single"/>
        </w:rPr>
        <w:t xml:space="preserve">            </w:t>
      </w:r>
    </w:p>
    <w:p>
      <w:pPr>
        <w:pStyle w:val="null3"/>
        <w:ind w:firstLine="480"/>
        <w:jc w:val="left"/>
      </w:pPr>
      <w:r>
        <w:rPr>
          <w:sz w:val="24"/>
        </w:rPr>
        <w:t>2．提供工作条件：</w:t>
      </w:r>
      <w:r>
        <w:rPr>
          <w:sz w:val="24"/>
          <w:u w:val="single"/>
        </w:rPr>
        <w:t>负责项目负责项目合同签订、技术协调、成果审查、成果验收、技术服务费申请等</w:t>
      </w:r>
      <w:r>
        <w:rPr>
          <w:sz w:val="24"/>
        </w:rPr>
        <w:t>。</w:t>
      </w:r>
    </w:p>
    <w:p>
      <w:pPr>
        <w:pStyle w:val="null3"/>
        <w:ind w:firstLine="480"/>
        <w:jc w:val="left"/>
      </w:pPr>
      <w:r>
        <w:rPr>
          <w:sz w:val="24"/>
        </w:rPr>
        <w:t>3．其他：</w:t>
      </w:r>
      <w:r>
        <w:rPr>
          <w:sz w:val="24"/>
          <w:u w:val="single"/>
        </w:rPr>
        <w:t xml:space="preserve">   </w:t>
      </w:r>
      <w:r>
        <w:rPr>
          <w:sz w:val="24"/>
          <w:u w:val="single"/>
        </w:rPr>
        <w:t xml:space="preserve">/   </w:t>
      </w:r>
      <w:r>
        <w:rPr>
          <w:sz w:val="24"/>
        </w:rPr>
        <w:t>。</w:t>
      </w:r>
    </w:p>
    <w:p>
      <w:pPr>
        <w:pStyle w:val="null3"/>
        <w:ind w:firstLine="480"/>
        <w:jc w:val="left"/>
      </w:pPr>
      <w:r>
        <w:rPr>
          <w:sz w:val="24"/>
        </w:rPr>
        <w:t>4．甲方提供上述工作条件和协作事项的时间及方式：</w:t>
      </w:r>
      <w:r>
        <w:rPr>
          <w:sz w:val="24"/>
          <w:u w:val="single"/>
        </w:rPr>
        <w:t>根据项目进展阶段适时提供。</w:t>
      </w:r>
    </w:p>
    <w:p>
      <w:pPr>
        <w:pStyle w:val="null3"/>
        <w:ind w:firstLine="560"/>
        <w:jc w:val="both"/>
      </w:pPr>
      <w:r>
        <w:rPr>
          <w:b/>
          <w:sz w:val="24"/>
        </w:rPr>
        <w:t>第四条：甲方向乙方支付技术服务报酬及支付方式为：</w:t>
      </w:r>
    </w:p>
    <w:p>
      <w:pPr>
        <w:pStyle w:val="null3"/>
        <w:ind w:firstLine="480"/>
        <w:jc w:val="left"/>
      </w:pPr>
      <w:r>
        <w:rPr>
          <w:sz w:val="24"/>
        </w:rPr>
        <w:t>1. 本项目的规划设计费为人民币（大写）</w:t>
      </w:r>
      <w:r>
        <w:rPr>
          <w:sz w:val="21"/>
          <w:u w:val="single"/>
        </w:rPr>
        <w:t xml:space="preserve">        </w:t>
      </w:r>
      <w:r>
        <w:rPr>
          <w:sz w:val="24"/>
        </w:rPr>
        <w:t>元整（</w:t>
      </w:r>
      <w:r>
        <w:rPr>
          <w:sz w:val="24"/>
        </w:rPr>
        <w:t>¥</w:t>
      </w:r>
      <w:r>
        <w:rPr>
          <w:sz w:val="21"/>
          <w:u w:val="single"/>
        </w:rPr>
        <w:t xml:space="preserve">       </w:t>
      </w:r>
      <w:r>
        <w:rPr>
          <w:sz w:val="24"/>
        </w:rPr>
        <w:t>元）。该合同价款含成果文本印刷费、税费以及现场查勘、交通、会议、专家评审等该项目所有费用。</w:t>
      </w:r>
    </w:p>
    <w:p>
      <w:pPr>
        <w:pStyle w:val="null3"/>
        <w:ind w:firstLine="480"/>
        <w:jc w:val="left"/>
      </w:pPr>
      <w:r>
        <w:rPr>
          <w:sz w:val="24"/>
        </w:rPr>
        <w:t>2. 技术服务费由甲方分</w:t>
      </w:r>
      <w:r>
        <w:rPr>
          <w:b/>
          <w:sz w:val="24"/>
          <w:u w:val="single"/>
        </w:rPr>
        <w:t>四期</w:t>
      </w:r>
      <w:r>
        <w:rPr>
          <w:sz w:val="24"/>
        </w:rPr>
        <w:t>支付乙方。</w:t>
      </w:r>
    </w:p>
    <w:p>
      <w:pPr>
        <w:pStyle w:val="null3"/>
        <w:ind w:firstLine="480"/>
        <w:jc w:val="left"/>
      </w:pPr>
      <w:r>
        <w:rPr>
          <w:sz w:val="24"/>
        </w:rPr>
        <w:t>3．乙方须根据甲方分期支付的技术服务费开具相应的发票金额，在甲方支付技术服务费的</w:t>
      </w:r>
      <w:r>
        <w:rPr>
          <w:sz w:val="24"/>
          <w:u w:val="single"/>
        </w:rPr>
        <w:t xml:space="preserve"> </w:t>
      </w:r>
      <w:r>
        <w:rPr>
          <w:sz w:val="24"/>
          <w:u w:val="single"/>
        </w:rPr>
        <w:t>5</w:t>
      </w:r>
      <w:r>
        <w:rPr>
          <w:sz w:val="24"/>
        </w:rPr>
        <w:t>个工作日前，乙方应向甲方提供相应金额的正式完税发票。</w:t>
      </w:r>
    </w:p>
    <w:p>
      <w:pPr>
        <w:pStyle w:val="null3"/>
        <w:ind w:firstLine="480"/>
        <w:jc w:val="left"/>
      </w:pPr>
      <w:r>
        <w:rPr>
          <w:sz w:val="24"/>
        </w:rPr>
        <w:t>4．乙方提供上述合法有效发票是甲方付款的前提条件，逾期不提供的，甲方可以顺延付款时间并无需承担任何责任。乙方不按合同约定提供发票给甲方造成损失的，由乙方承担。</w:t>
      </w:r>
    </w:p>
    <w:p>
      <w:pPr>
        <w:pStyle w:val="null3"/>
        <w:ind w:firstLine="480"/>
        <w:jc w:val="left"/>
      </w:pPr>
      <w:r>
        <w:rPr>
          <w:sz w:val="24"/>
        </w:rPr>
        <w:t>5. 因甲方使用的是财政资金，甲方规定的付款时间为向政府采购支付部门提出办理财政支付申请手续的时间（不含政府财政支付部门审核的时间），在规定时间内提出支付申请手续后即视为甲方履行支付义务。甲方将跟踪财政部门资金支付情况，直至款项到账。</w:t>
      </w:r>
    </w:p>
    <w:p>
      <w:pPr>
        <w:pStyle w:val="null3"/>
        <w:ind w:firstLine="480"/>
        <w:jc w:val="both"/>
      </w:pPr>
      <w:r>
        <w:rPr>
          <w:sz w:val="24"/>
        </w:rPr>
        <w:t>具体支付方式和时间如下：</w:t>
      </w:r>
    </w:p>
    <w:p>
      <w:pPr>
        <w:pStyle w:val="null3"/>
        <w:ind w:firstLine="480"/>
        <w:jc w:val="left"/>
      </w:pPr>
      <w:r>
        <w:rPr>
          <w:sz w:val="24"/>
        </w:rPr>
        <w:t>（</w:t>
      </w:r>
      <w:r>
        <w:rPr>
          <w:sz w:val="24"/>
        </w:rPr>
        <w:t>1）甲、乙双方签订本技术服务合同，乙方提供等额发票后5个工作日内支付乙方技术服务费总额的30%，即人民币</w:t>
      </w:r>
      <w:r>
        <w:rPr>
          <w:sz w:val="21"/>
          <w:u w:val="single"/>
        </w:rPr>
        <w:t xml:space="preserve">       </w:t>
      </w:r>
      <w:r>
        <w:rPr>
          <w:sz w:val="24"/>
        </w:rPr>
        <w:t>元整（</w:t>
      </w:r>
      <w:r>
        <w:rPr>
          <w:sz w:val="24"/>
        </w:rPr>
        <w:t>¥</w:t>
      </w:r>
      <w:r>
        <w:rPr>
          <w:sz w:val="21"/>
          <w:u w:val="single"/>
        </w:rPr>
        <w:t xml:space="preserve">      </w:t>
      </w:r>
      <w:r>
        <w:rPr>
          <w:sz w:val="24"/>
        </w:rPr>
        <w:t>元）。</w:t>
      </w:r>
    </w:p>
    <w:p>
      <w:pPr>
        <w:pStyle w:val="null3"/>
        <w:ind w:firstLine="480"/>
        <w:jc w:val="left"/>
      </w:pPr>
      <w:r>
        <w:rPr>
          <w:sz w:val="24"/>
        </w:rPr>
        <w:t>（</w:t>
      </w:r>
      <w:r>
        <w:rPr>
          <w:sz w:val="24"/>
        </w:rPr>
        <w:t>2）乙方提交初步成果，乙方提供等额发票后10个工作日内支付乙方技术服务费总额的30%，即人民币</w:t>
      </w:r>
      <w:r>
        <w:rPr>
          <w:sz w:val="21"/>
          <w:u w:val="single"/>
        </w:rPr>
        <w:t xml:space="preserve">       </w:t>
      </w:r>
      <w:r>
        <w:rPr>
          <w:sz w:val="24"/>
        </w:rPr>
        <w:t>元整（</w:t>
      </w:r>
      <w:r>
        <w:rPr>
          <w:sz w:val="24"/>
        </w:rPr>
        <w:t>¥</w:t>
      </w:r>
      <w:r>
        <w:rPr>
          <w:sz w:val="21"/>
          <w:u w:val="single"/>
        </w:rPr>
        <w:t xml:space="preserve">      </w:t>
      </w:r>
      <w:r>
        <w:rPr>
          <w:sz w:val="24"/>
        </w:rPr>
        <w:t>元）。</w:t>
      </w:r>
    </w:p>
    <w:p>
      <w:pPr>
        <w:pStyle w:val="null3"/>
        <w:ind w:firstLine="480"/>
        <w:jc w:val="left"/>
      </w:pPr>
      <w:r>
        <w:rPr>
          <w:sz w:val="24"/>
        </w:rPr>
        <w:t>（</w:t>
      </w:r>
      <w:r>
        <w:rPr>
          <w:sz w:val="24"/>
        </w:rPr>
        <w:t>3）乙方提交中期成果，乙方提供等额发票后10个工作日内支付乙方技术服务费总额的30%，即人民币</w:t>
      </w:r>
      <w:r>
        <w:rPr>
          <w:sz w:val="21"/>
          <w:u w:val="single"/>
        </w:rPr>
        <w:t xml:space="preserve">       </w:t>
      </w:r>
      <w:r>
        <w:rPr>
          <w:sz w:val="24"/>
        </w:rPr>
        <w:t>元整（</w:t>
      </w:r>
      <w:r>
        <w:rPr>
          <w:sz w:val="24"/>
        </w:rPr>
        <w:t>¥</w:t>
      </w:r>
      <w:r>
        <w:rPr>
          <w:sz w:val="21"/>
          <w:u w:val="single"/>
        </w:rPr>
        <w:t xml:space="preserve">      </w:t>
      </w:r>
      <w:r>
        <w:rPr>
          <w:sz w:val="24"/>
        </w:rPr>
        <w:t>元）。</w:t>
      </w:r>
    </w:p>
    <w:p>
      <w:pPr>
        <w:pStyle w:val="null3"/>
        <w:ind w:firstLine="480"/>
        <w:jc w:val="left"/>
      </w:pPr>
      <w:r>
        <w:rPr>
          <w:sz w:val="24"/>
        </w:rPr>
        <w:t>（</w:t>
      </w:r>
      <w:r>
        <w:rPr>
          <w:sz w:val="24"/>
        </w:rPr>
        <w:t>4）乙方提交最终成果，并根据意见修改完善，通过甲方验收，乙方提供等额发票后10个工作日内支付乙方技术服务费总额的10%，即人民币</w:t>
      </w:r>
      <w:r>
        <w:rPr>
          <w:sz w:val="21"/>
          <w:u w:val="single"/>
        </w:rPr>
        <w:t xml:space="preserve">       </w:t>
      </w:r>
      <w:r>
        <w:rPr>
          <w:sz w:val="24"/>
        </w:rPr>
        <w:t>元整（</w:t>
      </w:r>
      <w:r>
        <w:rPr>
          <w:sz w:val="24"/>
        </w:rPr>
        <w:t>¥</w:t>
      </w:r>
      <w:r>
        <w:rPr>
          <w:sz w:val="21"/>
          <w:u w:val="single"/>
        </w:rPr>
        <w:t xml:space="preserve">      </w:t>
      </w:r>
      <w:r>
        <w:rPr>
          <w:sz w:val="24"/>
        </w:rPr>
        <w:t>元）。</w:t>
      </w:r>
    </w:p>
    <w:p>
      <w:pPr>
        <w:pStyle w:val="null3"/>
        <w:ind w:firstLine="480"/>
        <w:jc w:val="left"/>
      </w:pPr>
      <w:r>
        <w:rPr>
          <w:sz w:val="24"/>
        </w:rPr>
        <w:t>乙方开户银行名称、地址和账号为：</w:t>
      </w:r>
    </w:p>
    <w:p>
      <w:pPr>
        <w:pStyle w:val="null3"/>
        <w:ind w:firstLine="480"/>
        <w:jc w:val="left"/>
      </w:pPr>
      <w:r>
        <w:rPr>
          <w:sz w:val="24"/>
        </w:rPr>
        <w:t>开户名称：</w:t>
      </w:r>
      <w:r>
        <w:rPr>
          <w:sz w:val="21"/>
          <w:u w:val="single"/>
        </w:rPr>
        <w:t xml:space="preserve">                                         </w:t>
      </w:r>
    </w:p>
    <w:p>
      <w:pPr>
        <w:pStyle w:val="null3"/>
        <w:ind w:firstLine="480"/>
        <w:jc w:val="left"/>
      </w:pPr>
      <w:r>
        <w:rPr>
          <w:sz w:val="24"/>
        </w:rPr>
        <w:t>开户银行：</w:t>
      </w:r>
      <w:r>
        <w:rPr>
          <w:sz w:val="21"/>
          <w:u w:val="single"/>
        </w:rPr>
        <w:t xml:space="preserve">                                         </w:t>
      </w:r>
    </w:p>
    <w:p>
      <w:pPr>
        <w:pStyle w:val="null3"/>
        <w:ind w:firstLine="480"/>
        <w:jc w:val="left"/>
      </w:pPr>
      <w:r>
        <w:rPr>
          <w:sz w:val="24"/>
        </w:rPr>
        <w:t>地址：</w:t>
      </w:r>
      <w:r>
        <w:rPr>
          <w:sz w:val="21"/>
          <w:u w:val="single"/>
        </w:rPr>
        <w:t xml:space="preserve">                                             </w:t>
      </w:r>
    </w:p>
    <w:p>
      <w:pPr>
        <w:pStyle w:val="null3"/>
        <w:ind w:firstLine="480"/>
        <w:jc w:val="left"/>
      </w:pPr>
      <w:r>
        <w:rPr>
          <w:sz w:val="24"/>
        </w:rPr>
        <w:t>账号：</w:t>
      </w:r>
      <w:r>
        <w:rPr>
          <w:sz w:val="21"/>
          <w:u w:val="single"/>
        </w:rPr>
        <w:t xml:space="preserve">                                             </w:t>
      </w:r>
    </w:p>
    <w:p>
      <w:pPr>
        <w:pStyle w:val="null3"/>
        <w:ind w:firstLine="560"/>
        <w:jc w:val="both"/>
      </w:pPr>
      <w:r>
        <w:rPr>
          <w:b/>
          <w:sz w:val="24"/>
        </w:rPr>
        <w:t>第五条：双方确定因履行本合同应遵守的保密义务如下：</w:t>
      </w:r>
    </w:p>
    <w:p>
      <w:pPr>
        <w:pStyle w:val="null3"/>
        <w:ind w:firstLine="480"/>
        <w:jc w:val="both"/>
      </w:pPr>
      <w:r>
        <w:rPr>
          <w:sz w:val="24"/>
        </w:rPr>
        <w:t>甲方：</w:t>
      </w:r>
    </w:p>
    <w:p>
      <w:pPr>
        <w:pStyle w:val="null3"/>
        <w:ind w:firstLine="480"/>
        <w:jc w:val="both"/>
      </w:pPr>
      <w:r>
        <w:rPr>
          <w:sz w:val="24"/>
        </w:rPr>
        <w:t xml:space="preserve">    </w:t>
      </w:r>
      <w:r>
        <w:rPr>
          <w:sz w:val="24"/>
        </w:rPr>
        <w:t>1. 保密内容（包括技术信息和经营信息）：</w:t>
      </w:r>
      <w:r>
        <w:rPr>
          <w:sz w:val="24"/>
          <w:u w:val="single"/>
        </w:rPr>
        <w:t>与本次工作有关的信息和资料</w:t>
      </w:r>
      <w:r>
        <w:rPr>
          <w:sz w:val="24"/>
        </w:rPr>
        <w:t>；</w:t>
      </w:r>
    </w:p>
    <w:p>
      <w:pPr>
        <w:pStyle w:val="null3"/>
        <w:ind w:firstLine="480"/>
        <w:jc w:val="both"/>
      </w:pPr>
      <w:r>
        <w:rPr>
          <w:sz w:val="24"/>
        </w:rPr>
        <w:t xml:space="preserve">    </w:t>
      </w:r>
      <w:r>
        <w:rPr>
          <w:sz w:val="24"/>
        </w:rPr>
        <w:t>2. 涉密人员范围:</w:t>
      </w:r>
      <w:r>
        <w:rPr>
          <w:sz w:val="24"/>
          <w:u w:val="single"/>
        </w:rPr>
        <w:t xml:space="preserve"> </w:t>
      </w:r>
      <w:r>
        <w:rPr>
          <w:sz w:val="24"/>
          <w:u w:val="single"/>
        </w:rPr>
        <w:t>参与本次工作的全体人员；</w:t>
      </w:r>
    </w:p>
    <w:p>
      <w:pPr>
        <w:pStyle w:val="null3"/>
        <w:ind w:firstLine="480"/>
        <w:jc w:val="both"/>
      </w:pPr>
      <w:r>
        <w:rPr>
          <w:sz w:val="24"/>
        </w:rPr>
        <w:t xml:space="preserve">    </w:t>
      </w:r>
      <w:r>
        <w:rPr>
          <w:sz w:val="24"/>
        </w:rPr>
        <w:t>3. 保密期限：</w:t>
      </w:r>
      <w:r>
        <w:rPr>
          <w:sz w:val="24"/>
          <w:u w:val="single"/>
        </w:rPr>
        <w:t>（</w:t>
      </w:r>
      <w:r>
        <w:rPr>
          <w:sz w:val="24"/>
          <w:u w:val="single"/>
        </w:rPr>
        <w:t>1）一般资料的保密期限与项目期限一致；（2）涉密资料按照《中华人民共和国保守国家秘密法》有关保密期限的规定执行；（3）具体可根据甲方要求再作协商。</w:t>
      </w:r>
    </w:p>
    <w:p>
      <w:pPr>
        <w:pStyle w:val="null3"/>
        <w:ind w:firstLine="480"/>
        <w:jc w:val="both"/>
      </w:pPr>
      <w:r>
        <w:rPr>
          <w:sz w:val="24"/>
        </w:rPr>
        <w:t xml:space="preserve">    </w:t>
      </w:r>
      <w:r>
        <w:rPr>
          <w:sz w:val="24"/>
        </w:rPr>
        <w:t>4. 泄密责任：</w:t>
      </w:r>
      <w:r>
        <w:rPr>
          <w:sz w:val="24"/>
          <w:u w:val="single"/>
        </w:rPr>
        <w:t>按照法律、法规、规章等相关规定承担有关责任。</w:t>
      </w:r>
    </w:p>
    <w:p>
      <w:pPr>
        <w:pStyle w:val="null3"/>
        <w:ind w:firstLine="480"/>
        <w:jc w:val="both"/>
      </w:pPr>
      <w:r>
        <w:rPr>
          <w:sz w:val="24"/>
        </w:rPr>
        <w:t>乙方：</w:t>
      </w:r>
    </w:p>
    <w:p>
      <w:pPr>
        <w:pStyle w:val="null3"/>
        <w:ind w:firstLine="480"/>
        <w:jc w:val="both"/>
      </w:pPr>
      <w:r>
        <w:rPr>
          <w:sz w:val="24"/>
        </w:rPr>
        <w:t xml:space="preserve">    </w:t>
      </w:r>
      <w:r>
        <w:rPr>
          <w:sz w:val="24"/>
        </w:rPr>
        <w:t>1. 保密内容（包括技术信息和经营信息）:</w:t>
      </w:r>
      <w:r>
        <w:rPr>
          <w:sz w:val="24"/>
          <w:u w:val="single"/>
        </w:rPr>
        <w:t>与本次工作有关的信息和资料</w:t>
      </w:r>
      <w:r>
        <w:rPr>
          <w:sz w:val="24"/>
        </w:rPr>
        <w:t>；</w:t>
      </w:r>
      <w:r>
        <w:rPr>
          <w:sz w:val="24"/>
        </w:rPr>
        <w:t xml:space="preserve"> </w:t>
      </w:r>
    </w:p>
    <w:p>
      <w:pPr>
        <w:pStyle w:val="null3"/>
        <w:ind w:firstLine="480"/>
        <w:jc w:val="both"/>
      </w:pPr>
      <w:r>
        <w:rPr>
          <w:sz w:val="24"/>
        </w:rPr>
        <w:t xml:space="preserve">    </w:t>
      </w:r>
      <w:r>
        <w:rPr>
          <w:sz w:val="24"/>
        </w:rPr>
        <w:t>2. 涉密人员范围:</w:t>
      </w:r>
      <w:r>
        <w:rPr>
          <w:sz w:val="24"/>
          <w:u w:val="single"/>
        </w:rPr>
        <w:t xml:space="preserve"> </w:t>
      </w:r>
      <w:r>
        <w:rPr>
          <w:sz w:val="24"/>
          <w:u w:val="single"/>
        </w:rPr>
        <w:t>参与本次工作的全体人员；</w:t>
      </w:r>
    </w:p>
    <w:p>
      <w:pPr>
        <w:pStyle w:val="null3"/>
        <w:ind w:firstLine="480"/>
        <w:jc w:val="both"/>
      </w:pPr>
      <w:r>
        <w:rPr>
          <w:sz w:val="24"/>
        </w:rPr>
        <w:t xml:space="preserve">    </w:t>
      </w:r>
      <w:r>
        <w:rPr>
          <w:sz w:val="24"/>
        </w:rPr>
        <w:t>3. 保密期限：</w:t>
      </w:r>
      <w:r>
        <w:rPr>
          <w:sz w:val="24"/>
          <w:u w:val="single"/>
        </w:rPr>
        <w:t>（</w:t>
      </w:r>
      <w:r>
        <w:rPr>
          <w:sz w:val="24"/>
          <w:u w:val="single"/>
        </w:rPr>
        <w:t>1）一般资料的保密期限与项目期限一致；（2）涉密资料按照《中华人民共和国保守国家秘密法》有关保密期限的规定执行；（3）具体可根据甲方要求再作协商。</w:t>
      </w:r>
    </w:p>
    <w:p>
      <w:pPr>
        <w:pStyle w:val="null3"/>
        <w:ind w:left="420" w:firstLine="480"/>
        <w:jc w:val="left"/>
      </w:pPr>
      <w:r>
        <w:rPr>
          <w:sz w:val="24"/>
        </w:rPr>
        <w:t>4．泄密责任：</w:t>
      </w:r>
      <w:r>
        <w:rPr>
          <w:sz w:val="24"/>
          <w:u w:val="single"/>
        </w:rPr>
        <w:t>按照法律、法规、规章等相关规定承担有关责任</w:t>
      </w:r>
      <w:r>
        <w:rPr>
          <w:sz w:val="24"/>
        </w:rPr>
        <w:t>。</w:t>
      </w:r>
    </w:p>
    <w:p>
      <w:pPr>
        <w:pStyle w:val="null3"/>
        <w:ind w:firstLine="560"/>
        <w:jc w:val="both"/>
      </w:pPr>
      <w:r>
        <w:rPr>
          <w:b/>
          <w:sz w:val="24"/>
        </w:rPr>
        <w:t>第六条：本合同的变更必须由双方协商一致，并以书面形式确定。但有下列情形之一的，一方可以向另一方提出变更合同权利与义务的请求，另一方应当在</w:t>
      </w:r>
      <w:r>
        <w:rPr>
          <w:b/>
          <w:sz w:val="24"/>
          <w:u w:val="single"/>
        </w:rPr>
        <w:t xml:space="preserve">  </w:t>
      </w:r>
      <w:r>
        <w:rPr>
          <w:b/>
          <w:sz w:val="24"/>
          <w:u w:val="single"/>
        </w:rPr>
        <w:t xml:space="preserve">7  </w:t>
      </w:r>
      <w:r>
        <w:rPr>
          <w:b/>
          <w:sz w:val="24"/>
        </w:rPr>
        <w:t>日内予以答复；逾期未予答复的，视为同意：</w:t>
      </w:r>
    </w:p>
    <w:p>
      <w:pPr>
        <w:pStyle w:val="null3"/>
        <w:ind w:firstLine="480"/>
        <w:jc w:val="both"/>
      </w:pPr>
      <w:r>
        <w:rPr>
          <w:sz w:val="24"/>
        </w:rPr>
        <w:t>1．</w:t>
      </w:r>
      <w:r>
        <w:rPr>
          <w:sz w:val="24"/>
          <w:u w:val="single"/>
        </w:rPr>
        <w:t>国家法律、法规、政策、技术标准和规范、政府计划调整</w:t>
      </w:r>
      <w:r>
        <w:rPr>
          <w:sz w:val="24"/>
        </w:rPr>
        <w:t>；</w:t>
      </w:r>
    </w:p>
    <w:p>
      <w:pPr>
        <w:pStyle w:val="null3"/>
        <w:ind w:firstLine="480"/>
        <w:jc w:val="both"/>
      </w:pPr>
      <w:r>
        <w:rPr>
          <w:sz w:val="24"/>
        </w:rPr>
        <w:t>2．</w:t>
      </w:r>
      <w:r>
        <w:rPr>
          <w:sz w:val="24"/>
          <w:u w:val="single"/>
        </w:rPr>
        <w:t>本项目用户需求书变更。</w:t>
      </w:r>
      <w:r>
        <w:rPr>
          <w:sz w:val="24"/>
          <w:u w:val="single"/>
        </w:rPr>
        <w:t xml:space="preserve">                            </w:t>
      </w:r>
    </w:p>
    <w:p>
      <w:pPr>
        <w:pStyle w:val="null3"/>
        <w:ind w:firstLine="560"/>
        <w:jc w:val="both"/>
      </w:pPr>
      <w:r>
        <w:rPr>
          <w:b/>
          <w:sz w:val="24"/>
        </w:rPr>
        <w:t>第七条：双方确定以下列标准和方式对乙方的技术服务工作成果进行验收：</w:t>
      </w:r>
    </w:p>
    <w:p>
      <w:pPr>
        <w:pStyle w:val="null3"/>
        <w:ind w:firstLine="480"/>
        <w:jc w:val="both"/>
      </w:pPr>
      <w:r>
        <w:rPr>
          <w:sz w:val="24"/>
        </w:rPr>
        <w:t>1．乙方完成技术服务工作的形式：</w:t>
      </w:r>
      <w:r>
        <w:rPr>
          <w:sz w:val="24"/>
          <w:u w:val="single"/>
        </w:rPr>
        <w:t xml:space="preserve"> </w:t>
      </w:r>
      <w:r>
        <w:rPr>
          <w:sz w:val="24"/>
          <w:u w:val="single"/>
        </w:rPr>
        <w:t>依据本项目用户需求书和甲方要求提交工作成果。</w:t>
      </w:r>
    </w:p>
    <w:p>
      <w:pPr>
        <w:pStyle w:val="null3"/>
        <w:ind w:firstLine="480"/>
        <w:jc w:val="both"/>
      </w:pPr>
      <w:r>
        <w:rPr>
          <w:sz w:val="24"/>
        </w:rPr>
        <w:t>2．技术服务工作成果的验收标准：</w:t>
      </w:r>
      <w:r>
        <w:rPr>
          <w:sz w:val="24"/>
          <w:u w:val="single"/>
        </w:rPr>
        <w:t xml:space="preserve"> </w:t>
      </w:r>
      <w:r>
        <w:rPr>
          <w:sz w:val="24"/>
          <w:u w:val="single"/>
        </w:rPr>
        <w:t>设计成果必须符合行业规范、地方通用标准以及项目用户需求书和甲方的要求。</w:t>
      </w:r>
    </w:p>
    <w:p>
      <w:pPr>
        <w:pStyle w:val="null3"/>
        <w:ind w:firstLine="480"/>
        <w:jc w:val="both"/>
      </w:pPr>
      <w:r>
        <w:rPr>
          <w:sz w:val="24"/>
        </w:rPr>
        <w:t>3．技术服务工作成果的验收方法：</w:t>
      </w:r>
      <w:r>
        <w:rPr>
          <w:sz w:val="24"/>
          <w:u w:val="single"/>
        </w:rPr>
        <w:t>甲方组织审查。</w:t>
      </w:r>
    </w:p>
    <w:p>
      <w:pPr>
        <w:pStyle w:val="null3"/>
        <w:ind w:firstLine="480"/>
        <w:jc w:val="both"/>
      </w:pPr>
      <w:r>
        <w:rPr>
          <w:sz w:val="24"/>
        </w:rPr>
        <w:t>4．验收的时间和地点：</w:t>
      </w:r>
      <w:r>
        <w:rPr>
          <w:sz w:val="24"/>
          <w:u w:val="single"/>
        </w:rPr>
        <w:t>按双方协商时间、地点验收。</w:t>
      </w:r>
    </w:p>
    <w:p>
      <w:pPr>
        <w:pStyle w:val="null3"/>
        <w:ind w:firstLine="560"/>
        <w:jc w:val="both"/>
      </w:pPr>
      <w:r>
        <w:rPr>
          <w:b/>
          <w:sz w:val="24"/>
        </w:rPr>
        <w:t>第八条：项目人员要求</w:t>
      </w:r>
    </w:p>
    <w:p>
      <w:pPr>
        <w:pStyle w:val="null3"/>
        <w:ind w:firstLine="480"/>
        <w:jc w:val="both"/>
      </w:pPr>
      <w:r>
        <w:rPr>
          <w:sz w:val="24"/>
        </w:rPr>
        <w:t>双方确定，在本合同有效期内，甲方指定</w:t>
      </w:r>
      <w:r>
        <w:rPr>
          <w:sz w:val="21"/>
          <w:u w:val="single"/>
        </w:rPr>
        <w:t xml:space="preserve">     </w:t>
      </w:r>
      <w:r>
        <w:rPr>
          <w:sz w:val="24"/>
        </w:rPr>
        <w:t>为甲方项目联系人，乙方指定</w:t>
      </w:r>
      <w:r>
        <w:rPr>
          <w:sz w:val="21"/>
          <w:u w:val="single"/>
        </w:rPr>
        <w:t xml:space="preserve">     </w:t>
      </w:r>
      <w:r>
        <w:rPr>
          <w:sz w:val="24"/>
        </w:rPr>
        <w:t>为本项目联系人。项目联系人承担以下责任：</w:t>
      </w:r>
    </w:p>
    <w:p>
      <w:pPr>
        <w:pStyle w:val="null3"/>
        <w:ind w:firstLine="480"/>
        <w:jc w:val="both"/>
      </w:pPr>
      <w:r>
        <w:rPr>
          <w:sz w:val="24"/>
        </w:rPr>
        <w:t>1．甲方项目联系人负责经费拨付的联络、协调；配合乙方工作，进行本次工作的协调跟进，确认并接收工作成果；尽快、及时组织工作成果的审查验收；</w:t>
      </w:r>
    </w:p>
    <w:p>
      <w:pPr>
        <w:pStyle w:val="null3"/>
        <w:ind w:firstLine="480"/>
        <w:jc w:val="both"/>
      </w:pPr>
      <w:r>
        <w:rPr>
          <w:sz w:val="24"/>
        </w:rPr>
        <w:t>2．乙方项目联系人定期向甲方报告工作进度及完成情况，按约定期限提交工作成果；</w:t>
      </w:r>
    </w:p>
    <w:p>
      <w:pPr>
        <w:pStyle w:val="null3"/>
        <w:ind w:firstLine="600"/>
        <w:jc w:val="both"/>
      </w:pPr>
      <w:r>
        <w:rPr>
          <w:sz w:val="24"/>
        </w:rPr>
        <w:t>一方变更项目联系人的，应当及时以书面形式通知另一方，未及时通知并影响本合同履行或造成损失的，应承担相应的责任。</w:t>
      </w:r>
    </w:p>
    <w:p>
      <w:pPr>
        <w:pStyle w:val="null3"/>
        <w:ind w:firstLine="560"/>
        <w:jc w:val="both"/>
      </w:pPr>
      <w:r>
        <w:rPr>
          <w:b/>
          <w:sz w:val="24"/>
        </w:rPr>
        <w:t>第九条：双方确定：</w:t>
      </w:r>
    </w:p>
    <w:p>
      <w:pPr>
        <w:pStyle w:val="null3"/>
        <w:ind w:firstLine="480"/>
        <w:jc w:val="both"/>
      </w:pPr>
      <w:r>
        <w:rPr>
          <w:sz w:val="24"/>
        </w:rPr>
        <w:t>1. 在本合同有效期内，甲方利用乙方提交的技术服务工作成果所完成的新的技术成果，归甲方所有。</w:t>
      </w:r>
    </w:p>
    <w:p>
      <w:pPr>
        <w:pStyle w:val="null3"/>
        <w:ind w:firstLine="480"/>
        <w:jc w:val="both"/>
      </w:pPr>
      <w:r>
        <w:rPr>
          <w:sz w:val="24"/>
        </w:rPr>
        <w:t>2. 在本合同有效期内，乙方利用甲方提供的技术资料和工作条件所完成的新的技术成果，归甲方所有。</w:t>
      </w:r>
    </w:p>
    <w:p>
      <w:pPr>
        <w:pStyle w:val="null3"/>
        <w:ind w:firstLine="425"/>
        <w:jc w:val="both"/>
      </w:pPr>
      <w:r>
        <w:rPr>
          <w:color w:val="000000"/>
          <w:sz w:val="24"/>
        </w:rPr>
        <w:t>3. 本项目项下各阶段的成果的著作权（版权）归甲方所有，项目成果署名权归甲乙双方共有。乙方保证其为完成本合同服务内容而制作并交付甲方的过程性文件、项目成果等文件，不侵犯第三人著作权及其他合法权益，如因第三人提出其著作权等侵权之诉，且由法院终审判决为乙方侵权的，则相应法律责任由乙方承担，如导致甲方遭受损失，乙方予以全部赔偿，包括但不限于甲方因处理上述赔付、索赔事项而发生的合理律师费、诉讼费、保全费、鉴定费、评估费、交通费以及向第三方支付的赔偿、补偿等。但因甲方提供资料导致的侵权除外。</w:t>
      </w:r>
    </w:p>
    <w:p>
      <w:pPr>
        <w:pStyle w:val="null3"/>
        <w:ind w:firstLine="425"/>
        <w:jc w:val="both"/>
      </w:pPr>
      <w:r>
        <w:rPr>
          <w:color w:val="000000"/>
          <w:sz w:val="24"/>
        </w:rPr>
        <w:t>4.在不影响项目成果质量和工期的情况下，乙方可在本项目中应用自有知识产权的如下高新技术/已有相关自主知识产权和科技成果：_________（编号：________）、 _________（编号：________）、 _________（编号：________）等。</w:t>
      </w:r>
    </w:p>
    <w:p>
      <w:pPr>
        <w:pStyle w:val="null3"/>
        <w:ind w:firstLine="560"/>
        <w:jc w:val="both"/>
      </w:pPr>
      <w:r>
        <w:rPr>
          <w:b/>
          <w:sz w:val="24"/>
        </w:rPr>
        <w:t>第十条：双方确定，按以下约定承担各自的违约责任：</w:t>
      </w:r>
    </w:p>
    <w:p>
      <w:pPr>
        <w:pStyle w:val="null3"/>
        <w:ind w:firstLine="480"/>
        <w:jc w:val="both"/>
      </w:pPr>
      <w:r>
        <w:rPr>
          <w:sz w:val="24"/>
        </w:rPr>
        <w:t>1.甲方未能按合同约定支付服务报酬的，除出现第四条第5款约定的情形外，每迟延一天，应向乙方支付本项目当期应付未付金额的</w:t>
      </w:r>
      <w:r>
        <w:rPr>
          <w:sz w:val="24"/>
          <w:u w:val="single"/>
        </w:rPr>
        <w:t>万分之一</w:t>
      </w:r>
      <w:r>
        <w:rPr>
          <w:sz w:val="24"/>
        </w:rPr>
        <w:t>的违约金，支付违约金总金额不超当期金额的</w:t>
      </w:r>
      <w:r>
        <w:rPr>
          <w:sz w:val="24"/>
          <w:u w:val="single"/>
        </w:rPr>
        <w:t>10%</w:t>
      </w:r>
      <w:r>
        <w:rPr>
          <w:sz w:val="24"/>
        </w:rPr>
        <w:t>。</w:t>
      </w:r>
    </w:p>
    <w:p>
      <w:pPr>
        <w:pStyle w:val="null3"/>
        <w:ind w:firstLine="480"/>
        <w:jc w:val="both"/>
      </w:pPr>
      <w:r>
        <w:rPr>
          <w:sz w:val="24"/>
        </w:rPr>
        <w:t>2. 因上级政策要求变化或其他不可抗力因素影响，致使项目难以按期完成各阶段工作任务，项目工期顺延并应由甲乙双方协商确定，并签订补充协议。</w:t>
      </w:r>
    </w:p>
    <w:p>
      <w:pPr>
        <w:pStyle w:val="null3"/>
        <w:ind w:firstLine="480"/>
        <w:jc w:val="both"/>
      </w:pPr>
      <w:r>
        <w:rPr>
          <w:sz w:val="24"/>
        </w:rPr>
        <w:t>3. 因乙方原因，未能按照合同规定时间向甲方提交各阶段研究成果的，乙方应当向甲方支付违约金。违约金的标准为每迟延提交一日，支付当期应付未付金额的</w:t>
      </w:r>
      <w:r>
        <w:rPr>
          <w:sz w:val="24"/>
          <w:u w:val="single"/>
        </w:rPr>
        <w:t>万分之一</w:t>
      </w:r>
      <w:r>
        <w:rPr>
          <w:sz w:val="24"/>
        </w:rPr>
        <w:t xml:space="preserve"> </w:t>
      </w:r>
      <w:r>
        <w:rPr>
          <w:sz w:val="24"/>
        </w:rPr>
        <w:t>，支付违约金总金额不超当期金额的</w:t>
      </w:r>
      <w:r>
        <w:rPr>
          <w:sz w:val="24"/>
          <w:u w:val="single"/>
        </w:rPr>
        <w:t>10%</w:t>
      </w:r>
      <w:r>
        <w:rPr>
          <w:sz w:val="24"/>
        </w:rPr>
        <w:t>。</w:t>
      </w:r>
    </w:p>
    <w:p>
      <w:pPr>
        <w:pStyle w:val="null3"/>
        <w:ind w:firstLine="480"/>
        <w:jc w:val="both"/>
      </w:pPr>
      <w:r>
        <w:rPr>
          <w:sz w:val="24"/>
        </w:rPr>
        <w:t>4. 乙方提交的成果未能通过甲方验收的，乙方应当在甲方规定的时间内采取补救措施，并重新向甲方提交。因此造成迟延提交的，乙方应当根据本条第</w:t>
      </w:r>
      <w:r>
        <w:rPr>
          <w:sz w:val="24"/>
          <w:u w:val="single"/>
        </w:rPr>
        <w:t>3</w:t>
      </w:r>
      <w:r>
        <w:rPr>
          <w:sz w:val="24"/>
        </w:rPr>
        <w:t>款的规定承担违约责任，因政府政策调整、项目需求发生颠覆性变更，以及由甲方自身原因所造成的延迟除外。</w:t>
      </w:r>
    </w:p>
    <w:p>
      <w:pPr>
        <w:pStyle w:val="null3"/>
        <w:ind w:firstLine="480"/>
        <w:jc w:val="both"/>
      </w:pPr>
      <w:r>
        <w:rPr>
          <w:sz w:val="24"/>
        </w:rPr>
        <w:t>5. 乙方有下列情形之一的，甲方有权解除合同，并按已拨付金额的</w:t>
      </w:r>
      <w:r>
        <w:rPr>
          <w:sz w:val="24"/>
          <w:u w:val="single"/>
        </w:rPr>
        <w:t>10%</w:t>
      </w:r>
      <w:r>
        <w:rPr>
          <w:sz w:val="24"/>
        </w:rPr>
        <w:t>向甲方支付违约金：</w:t>
      </w:r>
    </w:p>
    <w:p>
      <w:pPr>
        <w:pStyle w:val="null3"/>
        <w:ind w:firstLine="480"/>
        <w:jc w:val="both"/>
      </w:pPr>
      <w:r>
        <w:rPr>
          <w:sz w:val="24"/>
        </w:rPr>
        <w:t>5.1无正当理由，超过合同约定时间一个月未能向甲方提交各阶段成果的；</w:t>
      </w:r>
    </w:p>
    <w:p>
      <w:pPr>
        <w:pStyle w:val="null3"/>
        <w:ind w:firstLine="480"/>
        <w:jc w:val="both"/>
      </w:pPr>
      <w:r>
        <w:rPr>
          <w:sz w:val="24"/>
        </w:rPr>
        <w:t>5.2乙方提交的成果未能通过验收，修改后再次提交的成果仍未能通过甲方验收的，因政府政策调整、项目需求发生颠覆性变更，以及由甲方自身原因所造成的延迟的除外；</w:t>
      </w:r>
    </w:p>
    <w:p>
      <w:pPr>
        <w:pStyle w:val="null3"/>
        <w:ind w:firstLine="480"/>
        <w:jc w:val="both"/>
      </w:pPr>
      <w:r>
        <w:rPr>
          <w:sz w:val="24"/>
        </w:rPr>
        <w:t>5.3向甲方提交的成果侵犯他人合法权益，给甲方造成重大损失，或者给甲方造成重大不良影响的；</w:t>
      </w:r>
    </w:p>
    <w:p>
      <w:pPr>
        <w:pStyle w:val="null3"/>
        <w:ind w:firstLine="480"/>
        <w:jc w:val="both"/>
      </w:pPr>
      <w:r>
        <w:rPr>
          <w:sz w:val="24"/>
        </w:rPr>
        <w:t>5.4其他致使合同目的不能实现的严重违约行为；</w:t>
      </w:r>
    </w:p>
    <w:p>
      <w:pPr>
        <w:pStyle w:val="null3"/>
        <w:ind w:firstLine="480"/>
        <w:jc w:val="both"/>
      </w:pPr>
      <w:r>
        <w:rPr>
          <w:sz w:val="24"/>
        </w:rPr>
        <w:t>5.5在合同履行期间，项目负责人及主要人员与投标时响应的人员不一致、未经甲方同意（可以提前10个工作日以书面形式向甲方提出，征得同意后方可进行人员更换，更换后的人员专业资格、能力等不得低于原人员），除不可抗力（如离职、健康问题等），乙方擅自更换项目人员，或乙方项目人员不能胜任本合同项下的工作，经乙方多次更换后仍不能满足甲方要求的；</w:t>
      </w:r>
    </w:p>
    <w:p>
      <w:pPr>
        <w:pStyle w:val="null3"/>
        <w:ind w:firstLine="480"/>
        <w:jc w:val="both"/>
      </w:pPr>
      <w:r>
        <w:rPr>
          <w:sz w:val="24"/>
        </w:rPr>
        <w:t>5.6乙方未经甲方同意将本项目工作内容转包、分包给他人。</w:t>
      </w:r>
    </w:p>
    <w:p>
      <w:pPr>
        <w:pStyle w:val="null3"/>
        <w:ind w:firstLine="480"/>
        <w:jc w:val="both"/>
      </w:pPr>
      <w:r>
        <w:rPr>
          <w:sz w:val="24"/>
        </w:rPr>
        <w:t>6. 乙方应向甲方支付的本合同项下的违约金或赔偿金，甲方有权在尚未向乙方支付的费用中抵扣。</w:t>
      </w:r>
    </w:p>
    <w:p>
      <w:pPr>
        <w:pStyle w:val="null3"/>
        <w:ind w:firstLine="480"/>
        <w:jc w:val="both"/>
      </w:pPr>
      <w:r>
        <w:rPr>
          <w:sz w:val="24"/>
        </w:rPr>
        <w:t>7. 如乙方未能按本合同第二条约定，按时完成任务或提供备用解决方案，甲方可另行委托其他公司，由此产生的直接损失由乙方承担。</w:t>
      </w:r>
    </w:p>
    <w:p>
      <w:pPr>
        <w:pStyle w:val="null3"/>
        <w:ind w:firstLine="480"/>
        <w:jc w:val="both"/>
      </w:pPr>
      <w:r>
        <w:rPr>
          <w:sz w:val="24"/>
        </w:rPr>
        <w:t>8. 本合同项下所有损失及赔偿责任均指直接经济损失，任何一方不对另一方的间接损失和预期利益承担赔偿责任。乙方在本合同项下承担的违约金和损失赔偿责任总和不超过本合同约定服务费金额。</w:t>
      </w:r>
    </w:p>
    <w:p>
      <w:pPr>
        <w:pStyle w:val="null3"/>
        <w:ind w:firstLine="560"/>
        <w:jc w:val="both"/>
      </w:pPr>
      <w:r>
        <w:rPr>
          <w:b/>
          <w:sz w:val="24"/>
        </w:rPr>
        <w:t>第十一条：合同的解除：</w:t>
      </w:r>
      <w:r>
        <w:rPr>
          <w:sz w:val="24"/>
        </w:rPr>
        <w:t>签约双方中任何一方由于不可抗力原因，致使本合同的履行成为不必要或不可能的，经双方确认同意，可以解除本合同。</w:t>
      </w:r>
    </w:p>
    <w:p>
      <w:pPr>
        <w:pStyle w:val="null3"/>
        <w:ind w:firstLine="560"/>
        <w:jc w:val="both"/>
      </w:pPr>
      <w:r>
        <w:rPr>
          <w:b/>
          <w:sz w:val="24"/>
        </w:rPr>
        <w:t>第十二条：</w:t>
      </w:r>
      <w:r>
        <w:rPr>
          <w:sz w:val="24"/>
        </w:rPr>
        <w:t>双方因履行本合同而发生的争议，应协商、调解解决。协商、调解不成的，</w:t>
      </w:r>
      <w:r>
        <w:rPr>
          <w:sz w:val="24"/>
        </w:rPr>
        <w:t>依法向甲方所在地人民法院起诉。</w:t>
      </w:r>
    </w:p>
    <w:p>
      <w:pPr>
        <w:pStyle w:val="null3"/>
        <w:ind w:firstLine="560"/>
        <w:jc w:val="both"/>
      </w:pPr>
      <w:r>
        <w:rPr>
          <w:b/>
          <w:sz w:val="24"/>
        </w:rPr>
        <w:t>第十三条：双方确定：本合同及相关附件中所涉及的有关名词和技术术语，其定义和解释如下：</w:t>
      </w:r>
    </w:p>
    <w:p>
      <w:pPr>
        <w:pStyle w:val="null3"/>
        <w:ind w:firstLine="480"/>
        <w:jc w:val="both"/>
      </w:pPr>
      <w:r>
        <w:rPr>
          <w:sz w:val="24"/>
        </w:rPr>
        <w:t xml:space="preserve">    </w:t>
      </w:r>
      <w:r>
        <w:rPr>
          <w:sz w:val="24"/>
        </w:rPr>
        <w:t>1．本合同的附件是合同的重要组成部分，与合同有同等法律效力；</w:t>
      </w:r>
    </w:p>
    <w:p>
      <w:pPr>
        <w:pStyle w:val="null3"/>
        <w:ind w:firstLine="480"/>
        <w:jc w:val="both"/>
      </w:pPr>
      <w:r>
        <w:rPr>
          <w:b/>
          <w:sz w:val="21"/>
        </w:rPr>
        <w:t xml:space="preserve">    </w:t>
      </w:r>
      <w:r>
        <w:rPr>
          <w:sz w:val="24"/>
        </w:rPr>
        <w:t>2．对本合同的理解与解释应依据合同目的和文本原义及业界通行的理解和惯例进行，本合同内的标题不应影响本合同的解释。</w:t>
      </w:r>
    </w:p>
    <w:p>
      <w:pPr>
        <w:pStyle w:val="null3"/>
        <w:ind w:firstLine="560"/>
        <w:jc w:val="both"/>
      </w:pPr>
      <w:r>
        <w:rPr>
          <w:b/>
          <w:sz w:val="24"/>
        </w:rPr>
        <w:t>第十四条：双方约定本合同其他相关事项为：</w:t>
      </w:r>
    </w:p>
    <w:p>
      <w:pPr>
        <w:pStyle w:val="null3"/>
        <w:ind w:firstLine="480"/>
        <w:jc w:val="both"/>
      </w:pPr>
      <w:r>
        <w:rPr>
          <w:sz w:val="24"/>
        </w:rPr>
        <w:t>1. 乙方提交的项目成果质量经甲方组织评审认为不符合招标文件要求的，乙方应根据甲方的要求及时重新提供或采取其它补救措施。</w:t>
      </w:r>
    </w:p>
    <w:p>
      <w:pPr>
        <w:pStyle w:val="null3"/>
        <w:ind w:firstLine="470"/>
        <w:jc w:val="both"/>
      </w:pPr>
      <w:r>
        <w:rPr>
          <w:sz w:val="24"/>
        </w:rPr>
        <w:t>2. 甲方未及时组织成果评审以致影响乙方工作进度的，甲方应当积极采取补救措施，保障乙方按合同支付经费的权益，具体由双方协商。</w:t>
      </w:r>
    </w:p>
    <w:p>
      <w:pPr>
        <w:pStyle w:val="null3"/>
        <w:ind w:firstLine="425"/>
        <w:jc w:val="both"/>
      </w:pPr>
      <w:r>
        <w:rPr>
          <w:sz w:val="24"/>
        </w:rPr>
        <w:t>3. 由于乙方未在合同约定的期限内提交项目最终成果，或者由于乙方提交的最终成果不符合本项目用户需求书要求（此结论由非利益关联第三方公证单位出具评估报告作为依据），并在合同约定的最终期限内未修改完毕，因政府政策调整、项目需求发生颠覆性变更，以及由甲方自身原因所造成的延迟除外，造成本项目剩余资金被财政部门收回的，甲方将不承担向海珠区财政局申请拨付合同未完成阶段技术服务费的义务，乙方仍应当继续按照本项目用户需求书的要求完成最终成果直至通过甲方验收，否则，乙方应向甲方支付该阶段技术服务费用15%的违约金。</w:t>
      </w:r>
    </w:p>
    <w:p>
      <w:pPr>
        <w:pStyle w:val="null3"/>
        <w:ind w:firstLine="482"/>
        <w:jc w:val="both"/>
      </w:pPr>
      <w:r>
        <w:rPr>
          <w:b/>
          <w:sz w:val="24"/>
        </w:rPr>
        <w:t>第十五条：本合同一式</w:t>
      </w:r>
      <w:r>
        <w:rPr>
          <w:b/>
          <w:sz w:val="21"/>
          <w:u w:val="single"/>
        </w:rPr>
        <w:t xml:space="preserve">  </w:t>
      </w:r>
      <w:r>
        <w:rPr>
          <w:b/>
          <w:sz w:val="24"/>
        </w:rPr>
        <w:t>份，甲乙双方各执</w:t>
      </w:r>
      <w:r>
        <w:rPr>
          <w:b/>
          <w:sz w:val="21"/>
          <w:u w:val="single"/>
        </w:rPr>
        <w:t xml:space="preserve">  </w:t>
      </w:r>
      <w:r>
        <w:rPr>
          <w:b/>
          <w:sz w:val="24"/>
        </w:rPr>
        <w:t>份，采购代理执</w:t>
      </w:r>
      <w:r>
        <w:rPr>
          <w:b/>
          <w:sz w:val="21"/>
          <w:u w:val="single"/>
        </w:rPr>
        <w:t xml:space="preserve">  </w:t>
      </w:r>
      <w:r>
        <w:rPr>
          <w:b/>
          <w:sz w:val="24"/>
        </w:rPr>
        <w:t>份，监督管理部门执</w:t>
      </w:r>
      <w:r>
        <w:rPr>
          <w:b/>
          <w:sz w:val="21"/>
          <w:u w:val="single"/>
        </w:rPr>
        <w:t xml:space="preserve">  </w:t>
      </w:r>
      <w:r>
        <w:rPr>
          <w:b/>
          <w:sz w:val="24"/>
        </w:rPr>
        <w:t>份，具有同等法律效力。</w:t>
      </w:r>
    </w:p>
    <w:p>
      <w:pPr>
        <w:pStyle w:val="null3"/>
        <w:ind w:firstLine="425"/>
        <w:jc w:val="both"/>
      </w:pPr>
      <w:r>
        <w:rPr>
          <w:b/>
          <w:sz w:val="24"/>
        </w:rPr>
        <w:t>第十六条：本合同经双方签字盖章后生效。</w:t>
      </w:r>
    </w:p>
    <w:p>
      <w:pPr>
        <w:pStyle w:val="null3"/>
        <w:ind w:firstLine="425"/>
        <w:jc w:val="both"/>
      </w:pPr>
      <w:r>
        <w:rPr>
          <w:b/>
          <w:sz w:val="24"/>
        </w:rPr>
        <w:t>第十七条：附则</w:t>
      </w:r>
    </w:p>
    <w:p>
      <w:pPr>
        <w:pStyle w:val="null3"/>
        <w:ind w:firstLine="425"/>
        <w:jc w:val="both"/>
      </w:pPr>
      <w:r>
        <w:rPr>
          <w:sz w:val="24"/>
        </w:rPr>
        <w:t>1.增值税专用发票开票信息</w:t>
      </w:r>
    </w:p>
    <w:p>
      <w:pPr>
        <w:pStyle w:val="null3"/>
        <w:ind w:firstLine="525"/>
        <w:jc w:val="left"/>
      </w:pPr>
      <w:r>
        <w:rPr>
          <w:sz w:val="24"/>
        </w:rPr>
        <w:t>小规模纳税人</w:t>
      </w:r>
      <w:r>
        <w:rPr>
          <w:sz w:val="24"/>
        </w:rPr>
        <w:t xml:space="preserve">        </w:t>
      </w:r>
      <w:r>
        <w:rPr>
          <w:sz w:val="24"/>
        </w:rPr>
        <w:t>一般纳税人</w:t>
      </w:r>
    </w:p>
    <w:tbl>
      <w:tblPr>
        <w:tblW w:w="0" w:type="auto"/>
        <w:tblBorders>
          <w:top w:val="none" w:color="000000" w:sz="4"/>
          <w:left w:val="none" w:color="000000" w:sz="4"/>
          <w:bottom w:val="none" w:color="000000" w:sz="4"/>
          <w:right w:val="none" w:color="000000" w:sz="4"/>
          <w:insideH w:val="none"/>
          <w:insideV w:val="none"/>
        </w:tblBorders>
      </w:tblPr>
      <w:tblGrid>
        <w:gridCol w:w="2595"/>
        <w:gridCol w:w="5710"/>
      </w:tblGrid>
      <w:tr>
        <w:tc>
          <w:tcPr>
            <w:tcW w:type="dxa" w:w="25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公司名称</w:t>
            </w:r>
          </w:p>
        </w:tc>
        <w:tc>
          <w:tcPr>
            <w:tcW w:type="dxa" w:w="5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广州市海珠区规划编制研究中心</w:t>
            </w:r>
          </w:p>
        </w:tc>
      </w:tr>
      <w:tr>
        <w:tc>
          <w:tcPr>
            <w:tcW w:type="dxa" w:w="2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统一社会信用代码</w:t>
            </w:r>
          </w:p>
        </w:tc>
        <w:tc>
          <w:tcPr>
            <w:tcW w:type="dxa" w:w="5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124401057435620042</w:t>
            </w:r>
          </w:p>
        </w:tc>
      </w:tr>
      <w:tr>
        <w:tc>
          <w:tcPr>
            <w:tcW w:type="dxa" w:w="2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地址、邮编</w:t>
            </w:r>
          </w:p>
        </w:tc>
        <w:tc>
          <w:tcPr>
            <w:tcW w:type="dxa" w:w="5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广州市海珠区宝岗大道杏坛大街</w:t>
            </w:r>
            <w:r>
              <w:rPr>
                <w:sz w:val="24"/>
              </w:rPr>
              <w:t>28号</w:t>
            </w:r>
          </w:p>
        </w:tc>
      </w:tr>
      <w:tr>
        <w:tc>
          <w:tcPr>
            <w:tcW w:type="dxa" w:w="2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电话</w:t>
            </w:r>
          </w:p>
        </w:tc>
        <w:tc>
          <w:tcPr>
            <w:tcW w:type="dxa" w:w="5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020-34373137</w:t>
            </w:r>
          </w:p>
        </w:tc>
      </w:tr>
      <w:tr>
        <w:tc>
          <w:tcPr>
            <w:tcW w:type="dxa" w:w="2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开户银行</w:t>
            </w:r>
          </w:p>
        </w:tc>
        <w:tc>
          <w:tcPr>
            <w:tcW w:type="dxa" w:w="5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2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银行账号</w:t>
            </w:r>
          </w:p>
        </w:tc>
        <w:tc>
          <w:tcPr>
            <w:tcW w:type="dxa" w:w="5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ind w:firstLine="480"/>
        <w:jc w:val="both"/>
      </w:pPr>
    </w:p>
    <w:p>
      <w:pPr>
        <w:pStyle w:val="null3"/>
        <w:ind w:firstLine="470"/>
        <w:jc w:val="both"/>
      </w:pPr>
    </w:p>
    <w:p>
      <w:pPr>
        <w:pStyle w:val="null3"/>
      </w:pPr>
      <w:r>
        <w:rPr>
          <w:sz w:val="24"/>
        </w:rPr>
        <w:t>（本页为盖章页，无正文）</w:t>
      </w:r>
    </w:p>
    <w:p>
      <w:pPr>
        <w:pStyle w:val="null3"/>
      </w:pPr>
      <w:r>
        <w:rPr/>
        <w:t xml:space="preserve"> </w:t>
      </w:r>
    </w:p>
    <w:p>
      <w:pPr>
        <w:pStyle w:val="null3"/>
        <w:ind w:firstLine="470"/>
        <w:jc w:val="both"/>
      </w:pPr>
    </w:p>
    <w:p>
      <w:pPr>
        <w:pStyle w:val="null3"/>
        <w:ind w:firstLine="470"/>
        <w:jc w:val="both"/>
      </w:pPr>
    </w:p>
    <w:p>
      <w:pPr>
        <w:pStyle w:val="null3"/>
        <w:ind w:firstLine="480"/>
        <w:jc w:val="left"/>
      </w:pPr>
      <w:r>
        <w:rPr>
          <w:sz w:val="24"/>
        </w:rPr>
        <w:t>甲方：</w:t>
      </w:r>
      <w:r>
        <w:rPr>
          <w:sz w:val="21"/>
          <w:u w:val="single"/>
        </w:rPr>
        <w:t xml:space="preserve">                                                     </w:t>
      </w:r>
      <w:r>
        <w:rPr>
          <w:sz w:val="24"/>
        </w:rPr>
        <w:t>（盖章）</w:t>
      </w:r>
    </w:p>
    <w:p>
      <w:pPr>
        <w:pStyle w:val="null3"/>
        <w:ind w:firstLine="480"/>
        <w:jc w:val="both"/>
      </w:pPr>
      <w:r>
        <w:rPr>
          <w:sz w:val="24"/>
        </w:rPr>
        <w:t>法定代表人／委托代理人：</w:t>
      </w:r>
      <w:r>
        <w:rPr>
          <w:sz w:val="21"/>
          <w:u w:val="single"/>
        </w:rPr>
        <w:t xml:space="preserve">                                   </w:t>
      </w:r>
      <w:r>
        <w:rPr>
          <w:sz w:val="24"/>
        </w:rPr>
        <w:t>（签名）</w:t>
      </w:r>
    </w:p>
    <w:p>
      <w:pPr>
        <w:pStyle w:val="null3"/>
        <w:ind w:firstLine="480"/>
        <w:jc w:val="both"/>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firstLine="480"/>
        <w:jc w:val="both"/>
      </w:pPr>
    </w:p>
    <w:p>
      <w:pPr>
        <w:pStyle w:val="null3"/>
        <w:ind w:firstLine="480"/>
        <w:jc w:val="both"/>
      </w:pPr>
    </w:p>
    <w:p>
      <w:pPr>
        <w:pStyle w:val="null3"/>
        <w:ind w:firstLine="480"/>
        <w:jc w:val="both"/>
      </w:pPr>
    </w:p>
    <w:p>
      <w:pPr>
        <w:pStyle w:val="null3"/>
        <w:ind w:firstLine="480"/>
        <w:jc w:val="left"/>
      </w:pPr>
      <w:r>
        <w:rPr>
          <w:sz w:val="24"/>
        </w:rPr>
        <w:t>乙方：</w:t>
      </w:r>
      <w:r>
        <w:rPr>
          <w:sz w:val="21"/>
          <w:u w:val="single"/>
        </w:rPr>
        <w:t xml:space="preserve">                                                       </w:t>
      </w:r>
      <w:r>
        <w:rPr>
          <w:sz w:val="24"/>
        </w:rPr>
        <w:t>（盖章）</w:t>
      </w:r>
    </w:p>
    <w:p>
      <w:pPr>
        <w:pStyle w:val="null3"/>
        <w:ind w:firstLine="480"/>
        <w:jc w:val="both"/>
      </w:pPr>
      <w:r>
        <w:rPr>
          <w:sz w:val="24"/>
        </w:rPr>
        <w:t>法定代表人／委托代理人：</w:t>
      </w:r>
      <w:r>
        <w:rPr>
          <w:sz w:val="21"/>
          <w:u w:val="single"/>
        </w:rPr>
        <w:t xml:space="preserve">                                     </w:t>
      </w:r>
      <w:r>
        <w:rPr>
          <w:sz w:val="24"/>
        </w:rPr>
        <w:t>（签名）</w:t>
      </w:r>
    </w:p>
    <w:p>
      <w:pPr>
        <w:pStyle w:val="null3"/>
        <w:ind w:firstLine="480"/>
        <w:jc w:val="both"/>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pPr>
      <w:r>
        <w:rPr>
          <w:sz w:val="24"/>
        </w:rPr>
        <w:t>印花税票粘贴处：</w:t>
      </w:r>
    </w:p>
    <w:p>
      <w:pPr>
        <w:pStyle w:val="null3"/>
      </w:pPr>
      <w:r>
        <w:rPr/>
        <w:t xml:space="preserve"> </w:t>
      </w:r>
    </w:p>
    <w:p>
      <w:pPr>
        <w:pStyle w:val="null3"/>
        <w:ind w:firstLine="480"/>
        <w:jc w:val="both"/>
      </w:pPr>
    </w:p>
    <w:p>
      <w:pPr>
        <w:pStyle w:val="null3"/>
        <w:ind w:firstLine="480"/>
        <w:jc w:val="both"/>
      </w:pPr>
    </w:p>
    <w:p>
      <w:pPr>
        <w:pStyle w:val="null3"/>
        <w:ind w:firstLine="480"/>
        <w:jc w:val="both"/>
      </w:pPr>
      <w:r>
        <w:rPr>
          <w:sz w:val="21"/>
          <w:u w:val="single"/>
        </w:rPr>
        <w:t xml:space="preserve">                                                                  </w:t>
      </w:r>
    </w:p>
    <w:p>
      <w:pPr>
        <w:pStyle w:val="null3"/>
        <w:ind w:firstLine="480"/>
        <w:jc w:val="both"/>
      </w:pPr>
      <w:r>
        <w:rPr>
          <w:sz w:val="24"/>
        </w:rPr>
        <w:t>（以下由技术合同登记机构填写）</w:t>
      </w:r>
    </w:p>
    <w:p>
      <w:pPr>
        <w:pStyle w:val="null3"/>
        <w:ind w:firstLine="480"/>
        <w:jc w:val="both"/>
      </w:pPr>
      <w:r>
        <w:rPr>
          <w:sz w:val="24"/>
        </w:rPr>
        <w:t>合同登记编号：</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519"/>
        <w:gridCol w:w="519"/>
        <w:gridCol w:w="519"/>
        <w:gridCol w:w="519"/>
        <w:gridCol w:w="519"/>
        <w:gridCol w:w="519"/>
        <w:gridCol w:w="519"/>
        <w:gridCol w:w="519"/>
        <w:gridCol w:w="519"/>
        <w:gridCol w:w="519"/>
        <w:gridCol w:w="519"/>
        <w:gridCol w:w="519"/>
        <w:gridCol w:w="519"/>
        <w:gridCol w:w="519"/>
        <w:gridCol w:w="519"/>
        <w:gridCol w:w="519"/>
      </w:tblGrid>
      <w:tr>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bl>
    <w:p>
      <w:pPr>
        <w:pStyle w:val="null3"/>
        <w:ind w:firstLine="480"/>
        <w:jc w:val="both"/>
      </w:pPr>
    </w:p>
    <w:p>
      <w:pPr>
        <w:pStyle w:val="null3"/>
        <w:ind w:firstLine="480"/>
        <w:jc w:val="both"/>
      </w:pPr>
      <w:r>
        <w:rPr>
          <w:sz w:val="24"/>
        </w:rPr>
        <w:t xml:space="preserve">    </w:t>
      </w:r>
      <w:r>
        <w:rPr>
          <w:sz w:val="24"/>
        </w:rPr>
        <w:t>1．申请登记人：</w:t>
      </w:r>
      <w:r>
        <w:rPr>
          <w:sz w:val="21"/>
          <w:u w:val="single"/>
        </w:rPr>
        <w:t xml:space="preserve">                                              </w:t>
      </w:r>
    </w:p>
    <w:p>
      <w:pPr>
        <w:pStyle w:val="null3"/>
        <w:ind w:firstLine="570"/>
        <w:jc w:val="both"/>
      </w:pPr>
      <w:r>
        <w:rPr>
          <w:sz w:val="24"/>
        </w:rPr>
        <w:t>2．登记材料：（1）</w:t>
      </w:r>
      <w:r>
        <w:rPr>
          <w:sz w:val="21"/>
          <w:u w:val="single"/>
        </w:rPr>
        <w:t xml:space="preserve">                                            </w:t>
      </w:r>
    </w:p>
    <w:p>
      <w:pPr>
        <w:pStyle w:val="null3"/>
        <w:ind w:firstLine="570"/>
        <w:jc w:val="both"/>
      </w:pPr>
      <w:r>
        <w:rPr>
          <w:sz w:val="24"/>
        </w:rPr>
        <w:t xml:space="preserve">            </w:t>
      </w:r>
      <w:r>
        <w:rPr>
          <w:sz w:val="24"/>
        </w:rPr>
        <w:t>（</w:t>
      </w:r>
      <w:r>
        <w:rPr>
          <w:sz w:val="24"/>
        </w:rPr>
        <w:t>2）</w:t>
      </w:r>
      <w:r>
        <w:rPr>
          <w:sz w:val="21"/>
          <w:u w:val="single"/>
        </w:rPr>
        <w:t xml:space="preserve">                                            </w:t>
      </w:r>
    </w:p>
    <w:p>
      <w:pPr>
        <w:pStyle w:val="null3"/>
        <w:ind w:firstLine="570"/>
        <w:jc w:val="both"/>
      </w:pPr>
      <w:r>
        <w:rPr>
          <w:sz w:val="24"/>
        </w:rPr>
        <w:t xml:space="preserve">            </w:t>
      </w:r>
      <w:r>
        <w:rPr>
          <w:sz w:val="24"/>
        </w:rPr>
        <w:t>（</w:t>
      </w:r>
      <w:r>
        <w:rPr>
          <w:sz w:val="24"/>
        </w:rPr>
        <w:t>3）</w:t>
      </w:r>
      <w:r>
        <w:rPr>
          <w:sz w:val="21"/>
          <w:u w:val="single"/>
        </w:rPr>
        <w:t xml:space="preserve">                                            </w:t>
      </w:r>
    </w:p>
    <w:p>
      <w:pPr>
        <w:pStyle w:val="null3"/>
        <w:ind w:firstLine="570"/>
        <w:jc w:val="both"/>
      </w:pPr>
      <w:r>
        <w:rPr>
          <w:sz w:val="24"/>
        </w:rPr>
        <w:t>3．合同类型：</w:t>
      </w:r>
      <w:r>
        <w:rPr>
          <w:sz w:val="21"/>
          <w:u w:val="single"/>
        </w:rPr>
        <w:t xml:space="preserve">                                                </w:t>
      </w:r>
    </w:p>
    <w:p>
      <w:pPr>
        <w:pStyle w:val="null3"/>
        <w:ind w:firstLine="570"/>
        <w:jc w:val="both"/>
      </w:pPr>
      <w:r>
        <w:rPr>
          <w:sz w:val="24"/>
        </w:rPr>
        <w:t>4．合同交易额：</w:t>
      </w:r>
      <w:r>
        <w:rPr>
          <w:sz w:val="21"/>
          <w:u w:val="single"/>
        </w:rPr>
        <w:t xml:space="preserve">                                              </w:t>
      </w:r>
    </w:p>
    <w:p>
      <w:pPr>
        <w:pStyle w:val="null3"/>
        <w:ind w:firstLine="570"/>
        <w:jc w:val="both"/>
      </w:pPr>
      <w:r>
        <w:rPr>
          <w:sz w:val="24"/>
        </w:rPr>
        <w:t>5．技术交易额：</w:t>
      </w:r>
      <w:r>
        <w:rPr>
          <w:sz w:val="21"/>
          <w:u w:val="single"/>
        </w:rPr>
        <w:t xml:space="preserve">                                              </w:t>
      </w:r>
    </w:p>
    <w:p>
      <w:pPr>
        <w:pStyle w:val="null3"/>
        <w:ind w:firstLine="570"/>
        <w:jc w:val="both"/>
      </w:pPr>
    </w:p>
    <w:p>
      <w:pPr>
        <w:pStyle w:val="null3"/>
        <w:ind w:firstLine="570"/>
        <w:jc w:val="both"/>
      </w:pPr>
      <w:r>
        <w:rPr>
          <w:sz w:val="24"/>
        </w:rPr>
        <w:t xml:space="preserve">                                </w:t>
      </w:r>
      <w:r>
        <w:rPr>
          <w:sz w:val="24"/>
        </w:rPr>
        <w:t>技术合同登记机构（印章）</w:t>
      </w:r>
    </w:p>
    <w:p>
      <w:pPr>
        <w:pStyle w:val="null3"/>
        <w:ind w:firstLine="570"/>
        <w:jc w:val="both"/>
      </w:pPr>
      <w:r>
        <w:rPr>
          <w:sz w:val="24"/>
        </w:rPr>
        <w:t xml:space="preserve">                                 </w:t>
      </w:r>
      <w:r>
        <w:rPr>
          <w:sz w:val="24"/>
        </w:rPr>
        <w:t>经办人：</w:t>
      </w:r>
    </w:p>
    <w:p>
      <w:pPr>
        <w:pStyle w:val="null3"/>
        <w:ind w:firstLine="570"/>
        <w:jc w:val="both"/>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firstLine="3720"/>
        <w:jc w:val="both"/>
      </w:pPr>
      <w:r>
        <w:rPr>
          <w:sz w:val="21"/>
        </w:rPr>
        <w:t xml:space="preserve">                    </w:t>
      </w:r>
    </w:p>
    <w:p>
      <w:pPr>
        <w:pStyle w:val="null3"/>
        <w:ind w:firstLine="480"/>
        <w:jc w:val="center"/>
        <w:outlineLvl w:val="0"/>
      </w:pPr>
    </w:p>
    <w:p>
      <w:pPr>
        <w:pStyle w:val="null3"/>
        <w:ind w:firstLine="570"/>
        <w:jc w:val="both"/>
      </w:pPr>
      <w:r>
        <w:rPr>
          <w:sz w:val="24"/>
        </w:rPr>
        <w:t xml:space="preserve">                                </w:t>
      </w:r>
      <w:r>
        <w:rPr>
          <w:sz w:val="24"/>
        </w:rPr>
        <w:t>技术合同登记机构（印章）</w:t>
      </w:r>
    </w:p>
    <w:p>
      <w:pPr>
        <w:pStyle w:val="null3"/>
        <w:ind w:firstLine="570"/>
        <w:jc w:val="both"/>
      </w:pPr>
      <w:r>
        <w:rPr>
          <w:sz w:val="24"/>
        </w:rPr>
        <w:t xml:space="preserve">                                 </w:t>
      </w:r>
      <w:r>
        <w:rPr>
          <w:sz w:val="24"/>
        </w:rPr>
        <w:t>经办人：</w:t>
      </w:r>
    </w:p>
    <w:p>
      <w:pPr>
        <w:pStyle w:val="null3"/>
        <w:ind w:firstLine="570"/>
        <w:jc w:val="both"/>
      </w:pPr>
      <w:r>
        <w:rPr>
          <w:sz w:val="24"/>
        </w:rPr>
        <w:t xml:space="preserve">                                        </w:t>
      </w:r>
      <w:r>
        <w:rPr>
          <w:sz w:val="24"/>
        </w:rPr>
        <w:t>年</w:t>
      </w:r>
      <w:r>
        <w:rPr>
          <w:sz w:val="24"/>
        </w:rPr>
        <w:t xml:space="preserve">   </w:t>
      </w:r>
      <w:r>
        <w:rPr>
          <w:sz w:val="24"/>
        </w:rPr>
        <w:t>月</w:t>
      </w:r>
      <w:r>
        <w:rPr>
          <w:sz w:val="24"/>
        </w:rPr>
        <w:t xml:space="preserve">   </w:t>
      </w:r>
      <w:r>
        <w:rPr>
          <w:sz w:val="24"/>
        </w:rPr>
        <w:t>日</w:t>
      </w:r>
      <w:r>
        <w:br/>
      </w:r>
    </w:p>
    <w:p>
      <w:pPr>
        <w:pStyle w:val="null3"/>
        <w:numPr>
          <w:ilvl w:val="0"/>
          <w:numId w:val="1"/>
        </w:numPr>
      </w:pPr>
      <w:r>
        <w:rPr/>
        <w:t xml:space="preserve"> </w:t>
      </w: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440105-2024-01119</w:t>
      </w:r>
    </w:p>
    <w:p>
      <w:pPr>
        <w:pStyle w:val="null3"/>
        <w:ind w:firstLine="480"/>
        <w:jc w:val="center"/>
        <w:outlineLvl w:val="3"/>
      </w:pPr>
      <w:r>
        <w:rPr>
          <w:b/>
          <w:sz w:val="24"/>
        </w:rPr>
        <w:t>采购项目编号：</w:t>
      </w:r>
      <w:r>
        <w:rPr>
          <w:b/>
          <w:sz w:val="24"/>
        </w:rPr>
        <w:t>202401008706012</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广州群生招标代理有限公司</w:t>
      </w:r>
    </w:p>
    <w:p>
      <w:pPr>
        <w:pStyle w:val="null3"/>
        <w:ind w:firstLine="480"/>
      </w:pPr>
      <w:r>
        <w:rPr/>
        <w:t>你方组织的</w:t>
      </w:r>
      <w:r>
        <w:rPr>
          <w:u w:val="single"/>
        </w:rPr>
        <w:t>“</w:t>
      </w:r>
      <w:r>
        <w:rPr>
          <w:u w:val="single"/>
        </w:rPr>
        <w:t>海珠区面向实施的近中期交通提升规划</w:t>
      </w:r>
      <w:r>
        <w:rPr>
          <w:u w:val="single"/>
        </w:rPr>
        <w:t>”</w:t>
      </w:r>
      <w:r>
        <w:rPr/>
        <w:t>项目的招标[采购项目编号为：</w:t>
      </w:r>
      <w:r>
        <w:rPr>
          <w:u w:val="single"/>
        </w:rPr>
        <w:t>202401008706012</w:t>
      </w:r>
      <w:r>
        <w:rPr/>
        <w:t>]，我方愿参与投标。</w:t>
      </w:r>
    </w:p>
    <w:p>
      <w:pPr>
        <w:pStyle w:val="null3"/>
        <w:ind w:firstLine="480"/>
      </w:pPr>
      <w:r>
        <w:rPr/>
        <w:t>我方确认收到贵方提供的</w:t>
      </w:r>
      <w:r>
        <w:rPr>
          <w:u w:val="single"/>
        </w:rPr>
        <w:t>“</w:t>
      </w:r>
      <w:r>
        <w:rPr>
          <w:u w:val="single"/>
        </w:rPr>
        <w:t>海珠区面向实施的近中期交通提升规划</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广州群生招标代理有限公司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海珠区面向实施的近中期交通提升规划</w:t>
      </w:r>
      <w:r>
        <w:rPr/>
        <w:t>”项目采购[采购项目编号为</w:t>
      </w:r>
      <w:r>
        <w:rPr/>
        <w:t>202401008706012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广州市海珠区规划编制研究中心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广州群生招标代理有限公司</w:t>
      </w:r>
    </w:p>
    <w:p>
      <w:pPr>
        <w:pStyle w:val="null3"/>
        <w:ind w:firstLine="480"/>
      </w:pPr>
      <w:r>
        <w:rPr/>
        <w:t>如果我方在贵采购代理机构组织的</w:t>
      </w:r>
      <w:r>
        <w:rPr/>
        <w:t>海珠区面向实施的近中期交通提升规划</w:t>
      </w:r>
      <w:r>
        <w:rPr/>
        <w:t>招标中获中标（采购项目编号：</w:t>
      </w:r>
      <w:r>
        <w:rPr/>
        <w:t>202401008706012</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广州群生招标代理有限公司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